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31" w:rsidRDefault="00742031" w:rsidP="00742031">
      <w:pPr>
        <w:rPr>
          <w:rFonts w:ascii="Tahoma" w:hAnsi="Tahoma" w:cs="Tahoma"/>
        </w:rPr>
      </w:pPr>
    </w:p>
    <w:p w:rsidR="00742031" w:rsidRPr="00D91323" w:rsidRDefault="00742031" w:rsidP="00742031">
      <w:pPr>
        <w:rPr>
          <w:rFonts w:ascii="Tahoma" w:hAnsi="Tahoma" w:cs="Tahoma"/>
        </w:rPr>
      </w:pPr>
    </w:p>
    <w:p w:rsidR="00742031" w:rsidRPr="00D91323" w:rsidRDefault="00742031" w:rsidP="00742031">
      <w:pPr>
        <w:rPr>
          <w:rFonts w:ascii="Tahoma" w:hAnsi="Tahoma" w:cs="Tahoma"/>
        </w:rPr>
      </w:pPr>
    </w:p>
    <w:p w:rsidR="00742031" w:rsidRPr="00D91323" w:rsidRDefault="00742031" w:rsidP="00742031">
      <w:pPr>
        <w:rPr>
          <w:rFonts w:ascii="Tahoma" w:hAnsi="Tahoma" w:cs="Tahoma"/>
        </w:rPr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p w:rsidR="00742031" w:rsidRDefault="00742031" w:rsidP="00742031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8643"/>
      </w:tblGrid>
      <w:tr w:rsidR="00742031" w:rsidRPr="00A92807" w:rsidTr="001465D2">
        <w:trPr>
          <w:trHeight w:val="567"/>
        </w:trPr>
        <w:tc>
          <w:tcPr>
            <w:tcW w:w="8643" w:type="dxa"/>
            <w:shd w:val="clear" w:color="auto" w:fill="D9D9D9"/>
            <w:vAlign w:val="center"/>
          </w:tcPr>
          <w:p w:rsidR="00742031" w:rsidRPr="00A92807" w:rsidRDefault="00742031" w:rsidP="001465D2">
            <w:pPr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Jóváhagyandó munkarészek</w:t>
            </w:r>
          </w:p>
        </w:tc>
      </w:tr>
    </w:tbl>
    <w:p w:rsidR="00742031" w:rsidRPr="00D91323" w:rsidRDefault="00742031" w:rsidP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742031" w:rsidRPr="0018557E" w:rsidRDefault="00742031" w:rsidP="00742031">
      <w:pPr>
        <w:tabs>
          <w:tab w:val="left" w:pos="567"/>
        </w:tabs>
        <w:rPr>
          <w:rFonts w:ascii="Tahoma" w:hAnsi="Tahoma" w:cs="Tahoma"/>
          <w:b/>
          <w:caps/>
        </w:rPr>
      </w:pPr>
      <w:r w:rsidRPr="0018557E">
        <w:rPr>
          <w:rFonts w:ascii="Tahoma" w:hAnsi="Tahoma" w:cs="Tahoma"/>
          <w:b/>
        </w:rPr>
        <w:lastRenderedPageBreak/>
        <w:t>I.</w:t>
      </w:r>
      <w:r w:rsidRPr="0018557E">
        <w:rPr>
          <w:rFonts w:ascii="Tahoma" w:hAnsi="Tahoma" w:cs="Tahoma"/>
          <w:b/>
        </w:rPr>
        <w:tab/>
      </w:r>
      <w:r w:rsidRPr="0018557E">
        <w:rPr>
          <w:rFonts w:ascii="Tahoma" w:hAnsi="Tahoma" w:cs="Tahoma"/>
          <w:b/>
          <w:caps/>
        </w:rPr>
        <w:t>határozat - tervezet</w:t>
      </w:r>
    </w:p>
    <w:p w:rsidR="00742031" w:rsidRPr="00AC7B75" w:rsidRDefault="00742031" w:rsidP="00742031">
      <w:pPr>
        <w:jc w:val="center"/>
        <w:rPr>
          <w:rFonts w:ascii="Tahoma" w:hAnsi="Tahoma" w:cs="Tahoma"/>
          <w:b/>
          <w:caps/>
        </w:rPr>
      </w:pPr>
    </w:p>
    <w:p w:rsidR="00742031" w:rsidRPr="00AC7B75" w:rsidRDefault="00742031" w:rsidP="00742031">
      <w:pPr>
        <w:jc w:val="center"/>
        <w:rPr>
          <w:rFonts w:ascii="Tahoma" w:hAnsi="Tahoma" w:cs="Tahoma"/>
          <w:b/>
          <w:caps/>
        </w:rPr>
      </w:pPr>
    </w:p>
    <w:p w:rsidR="00742031" w:rsidRPr="00AC7B75" w:rsidRDefault="00742031" w:rsidP="00742031">
      <w:pPr>
        <w:jc w:val="center"/>
        <w:rPr>
          <w:rFonts w:ascii="Tahoma" w:hAnsi="Tahoma" w:cs="Tahoma"/>
          <w:b/>
        </w:rPr>
      </w:pPr>
      <w:r w:rsidRPr="00AC7B75">
        <w:rPr>
          <w:rFonts w:ascii="Tahoma" w:hAnsi="Tahoma" w:cs="Tahoma"/>
          <w:b/>
        </w:rPr>
        <w:t>Monor Város Képviselő-testületének</w:t>
      </w:r>
    </w:p>
    <w:p w:rsidR="00742031" w:rsidRPr="00AC7B75" w:rsidRDefault="00742031" w:rsidP="00742031">
      <w:pPr>
        <w:jc w:val="center"/>
        <w:rPr>
          <w:rFonts w:ascii="Tahoma" w:hAnsi="Tahoma" w:cs="Tahoma"/>
          <w:b/>
        </w:rPr>
      </w:pPr>
      <w:r w:rsidRPr="00AC7B75">
        <w:rPr>
          <w:rFonts w:ascii="Tahoma" w:hAnsi="Tahoma" w:cs="Tahoma"/>
          <w:b/>
        </w:rPr>
        <w:t>..…/</w:t>
      </w:r>
      <w:proofErr w:type="gramStart"/>
      <w:r w:rsidRPr="00AC7B75">
        <w:rPr>
          <w:rFonts w:ascii="Tahoma" w:hAnsi="Tahoma" w:cs="Tahoma"/>
          <w:b/>
        </w:rPr>
        <w:t>…...</w:t>
      </w:r>
      <w:proofErr w:type="gramEnd"/>
      <w:r w:rsidRPr="00AC7B75">
        <w:rPr>
          <w:rFonts w:ascii="Tahoma" w:hAnsi="Tahoma" w:cs="Tahoma"/>
          <w:b/>
        </w:rPr>
        <w:t xml:space="preserve"> (…….) sz. határozata</w:t>
      </w:r>
    </w:p>
    <w:p w:rsidR="00742031" w:rsidRPr="00AC7B75" w:rsidRDefault="00742031" w:rsidP="00742031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590/2010</w:t>
      </w:r>
      <w:r w:rsidRPr="00AC7B75">
        <w:rPr>
          <w:rFonts w:ascii="Tahoma" w:hAnsi="Tahoma" w:cs="Tahoma"/>
          <w:b/>
        </w:rPr>
        <w:t>. (XI</w:t>
      </w:r>
      <w:r>
        <w:rPr>
          <w:rFonts w:ascii="Tahoma" w:hAnsi="Tahoma" w:cs="Tahoma"/>
          <w:b/>
        </w:rPr>
        <w:t>I. 16</w:t>
      </w:r>
      <w:r w:rsidRPr="00AC7B75">
        <w:rPr>
          <w:rFonts w:ascii="Tahoma" w:hAnsi="Tahoma" w:cs="Tahoma"/>
          <w:b/>
        </w:rPr>
        <w:t>.)</w:t>
      </w:r>
      <w:r>
        <w:rPr>
          <w:rFonts w:ascii="Tahoma" w:hAnsi="Tahoma" w:cs="Tahoma"/>
          <w:b/>
        </w:rPr>
        <w:t xml:space="preserve"> sz.</w:t>
      </w:r>
      <w:r w:rsidRPr="00AC7B75">
        <w:rPr>
          <w:rFonts w:ascii="Tahoma" w:hAnsi="Tahoma" w:cs="Tahoma"/>
          <w:b/>
        </w:rPr>
        <w:t xml:space="preserve"> Kt. határozattal elfogadott Településszerkezeti Tervének módosításáról és Leírásáról</w:t>
      </w:r>
    </w:p>
    <w:p w:rsidR="00742031" w:rsidRPr="00AC7B75" w:rsidRDefault="00742031" w:rsidP="00742031">
      <w:pPr>
        <w:rPr>
          <w:rFonts w:ascii="Tahoma" w:hAnsi="Tahoma" w:cs="Tahoma"/>
        </w:rPr>
      </w:pPr>
    </w:p>
    <w:p w:rsidR="00742031" w:rsidRPr="00AC7B75" w:rsidRDefault="00742031" w:rsidP="00742031">
      <w:pPr>
        <w:pStyle w:val="Szvegtrzs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Monor Város</w:t>
      </w:r>
      <w:r w:rsidRPr="00AC7B75">
        <w:rPr>
          <w:rFonts w:ascii="Tahoma" w:hAnsi="Tahoma" w:cs="Tahoma"/>
          <w:szCs w:val="24"/>
        </w:rPr>
        <w:t xml:space="preserve"> Önkormányzatának Képviselő-testülete az előterjesztést megtárgyalta, és az 1990. évi LXV. tv. </w:t>
      </w:r>
      <w:proofErr w:type="gramStart"/>
      <w:r w:rsidRPr="00AC7B75">
        <w:rPr>
          <w:rFonts w:ascii="Tahoma" w:hAnsi="Tahoma" w:cs="Tahoma"/>
          <w:szCs w:val="24"/>
        </w:rPr>
        <w:t>szerint</w:t>
      </w:r>
      <w:proofErr w:type="gramEnd"/>
      <w:r w:rsidRPr="00AC7B75">
        <w:rPr>
          <w:rFonts w:ascii="Tahoma" w:hAnsi="Tahoma" w:cs="Tahoma"/>
          <w:szCs w:val="24"/>
        </w:rPr>
        <w:t>, valamint az Épített környezet alakításáról és védelméről szóló 1997. LXXVIII. tv. 7.§ (3) bekezdés b.) pontja alapján az alábbi határozatot hozza:</w:t>
      </w:r>
    </w:p>
    <w:p w:rsidR="00742031" w:rsidRPr="00AC7B75" w:rsidRDefault="00742031" w:rsidP="00742031">
      <w:pPr>
        <w:rPr>
          <w:rFonts w:ascii="Tahoma" w:hAnsi="Tahoma" w:cs="Tahoma"/>
        </w:rPr>
      </w:pPr>
    </w:p>
    <w:p w:rsidR="00742031" w:rsidRPr="00AC7B75" w:rsidRDefault="00742031" w:rsidP="00742031">
      <w:pPr>
        <w:ind w:left="421" w:hanging="421"/>
        <w:rPr>
          <w:rFonts w:ascii="Tahoma" w:hAnsi="Tahoma" w:cs="Tahoma"/>
        </w:rPr>
      </w:pPr>
      <w:r w:rsidRPr="00AC7B75">
        <w:rPr>
          <w:rFonts w:ascii="Tahoma" w:hAnsi="Tahoma" w:cs="Tahoma"/>
        </w:rPr>
        <w:t>A Képviselő-testület</w:t>
      </w:r>
    </w:p>
    <w:p w:rsidR="00742031" w:rsidRPr="00AC7B75" w:rsidRDefault="00742031" w:rsidP="00742031">
      <w:pPr>
        <w:ind w:left="421" w:hanging="42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Monor Város 590/2010.(XII.16) sz.</w:t>
      </w:r>
      <w:r w:rsidRPr="00AC7B75">
        <w:rPr>
          <w:rFonts w:ascii="Tahoma" w:hAnsi="Tahoma" w:cs="Tahoma"/>
        </w:rPr>
        <w:t xml:space="preserve"> Kt.</w:t>
      </w:r>
      <w:r w:rsidRPr="00AC7B75">
        <w:rPr>
          <w:rFonts w:ascii="Tahoma" w:hAnsi="Tahoma" w:cs="Tahoma"/>
          <w:b/>
        </w:rPr>
        <w:t xml:space="preserve"> </w:t>
      </w:r>
      <w:r w:rsidRPr="00AC7B75">
        <w:rPr>
          <w:rFonts w:ascii="Tahoma" w:hAnsi="Tahoma" w:cs="Tahoma"/>
        </w:rPr>
        <w:t xml:space="preserve">határozattal elfogadott Településszerkezeti Tervét az 1. számú melléklet szerint módosítja és az alábbi </w:t>
      </w:r>
      <w:proofErr w:type="spellStart"/>
      <w:r w:rsidRPr="00AC7B75">
        <w:rPr>
          <w:rFonts w:ascii="Tahoma" w:hAnsi="Tahoma" w:cs="Tahoma"/>
        </w:rPr>
        <w:t>területfelhasználás</w:t>
      </w:r>
      <w:proofErr w:type="spellEnd"/>
      <w:r w:rsidRPr="00AC7B75">
        <w:rPr>
          <w:rFonts w:ascii="Tahoma" w:hAnsi="Tahoma" w:cs="Tahoma"/>
        </w:rPr>
        <w:t xml:space="preserve"> változásokat </w:t>
      </w:r>
      <w:r w:rsidRPr="0018557E">
        <w:rPr>
          <w:rFonts w:ascii="Tahoma" w:hAnsi="Tahoma" w:cs="Tahoma"/>
        </w:rPr>
        <w:t>(1 - 3) fogadja</w:t>
      </w:r>
      <w:r w:rsidRPr="00AC7B75">
        <w:rPr>
          <w:rFonts w:ascii="Tahoma" w:hAnsi="Tahoma" w:cs="Tahoma"/>
        </w:rPr>
        <w:t xml:space="preserve"> el;</w:t>
      </w:r>
    </w:p>
    <w:p w:rsidR="00742031" w:rsidRPr="00AC7B75" w:rsidRDefault="00742031" w:rsidP="00742031">
      <w:pPr>
        <w:ind w:firstLine="421"/>
        <w:rPr>
          <w:rFonts w:ascii="Tahoma" w:hAnsi="Tahoma" w:cs="Tahoma"/>
        </w:rPr>
      </w:pPr>
      <w:r w:rsidRPr="00AC7B75">
        <w:rPr>
          <w:rFonts w:ascii="Tahoma" w:hAnsi="Tahoma" w:cs="Tahoma"/>
        </w:rPr>
        <w:t>(rajz: Település</w:t>
      </w:r>
      <w:r>
        <w:rPr>
          <w:rFonts w:ascii="Tahoma" w:hAnsi="Tahoma" w:cs="Tahoma"/>
        </w:rPr>
        <w:t>szerkezet</w:t>
      </w:r>
      <w:r w:rsidR="00156973">
        <w:rPr>
          <w:rFonts w:ascii="Tahoma" w:hAnsi="Tahoma" w:cs="Tahoma"/>
        </w:rPr>
        <w:t xml:space="preserve">i </w:t>
      </w:r>
      <w:proofErr w:type="gramStart"/>
      <w:r w:rsidR="00156973">
        <w:rPr>
          <w:rFonts w:ascii="Tahoma" w:hAnsi="Tahoma" w:cs="Tahoma"/>
        </w:rPr>
        <w:t>Terv módosítás</w:t>
      </w:r>
      <w:proofErr w:type="gramEnd"/>
      <w:r w:rsidR="00156973">
        <w:rPr>
          <w:rFonts w:ascii="Tahoma" w:hAnsi="Tahoma" w:cs="Tahoma"/>
        </w:rPr>
        <w:t xml:space="preserve"> – 2012. május</w:t>
      </w:r>
      <w:r w:rsidRPr="00AC7B75">
        <w:rPr>
          <w:rFonts w:ascii="Tahoma" w:hAnsi="Tahoma" w:cs="Tahoma"/>
        </w:rPr>
        <w:t>)</w:t>
      </w:r>
    </w:p>
    <w:p w:rsidR="00742031" w:rsidRPr="00AC7B75" w:rsidRDefault="00742031" w:rsidP="00742031">
      <w:pPr>
        <w:ind w:firstLine="421"/>
        <w:rPr>
          <w:rFonts w:ascii="Tahoma" w:hAnsi="Tahoma" w:cs="Tahoma"/>
        </w:rPr>
      </w:pPr>
    </w:p>
    <w:p w:rsidR="00742031" w:rsidRDefault="00742031" w:rsidP="00742031">
      <w:pPr>
        <w:pStyle w:val="Listaszerbekezds"/>
        <w:numPr>
          <w:ilvl w:val="0"/>
          <w:numId w:val="1"/>
        </w:numPr>
        <w:tabs>
          <w:tab w:val="left" w:pos="1418"/>
        </w:tabs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Pincefalu területét alkotó Mezőgazdasági, kereskedelmi, szolgáltató gazdasági területből – jelölve az 1. sz. mellékleten) a helyi sajátosságoknak jobban megfelelő és a megcélzott borturisztikai fejlesztéseket jobban szolgáló „különleges egyéb terület” </w:t>
      </w:r>
      <w:proofErr w:type="spellStart"/>
      <w:r>
        <w:rPr>
          <w:rFonts w:ascii="Tahoma" w:hAnsi="Tahoma" w:cs="Tahoma"/>
          <w:sz w:val="24"/>
          <w:szCs w:val="24"/>
        </w:rPr>
        <w:t>területfelhasználási</w:t>
      </w:r>
      <w:proofErr w:type="spellEnd"/>
      <w:r>
        <w:rPr>
          <w:rFonts w:ascii="Tahoma" w:hAnsi="Tahoma" w:cs="Tahoma"/>
          <w:sz w:val="24"/>
          <w:szCs w:val="24"/>
        </w:rPr>
        <w:t xml:space="preserve"> egységbe sorolja át.</w:t>
      </w:r>
    </w:p>
    <w:p w:rsidR="00742031" w:rsidRPr="001E70A8" w:rsidRDefault="00742031" w:rsidP="00742031">
      <w:pPr>
        <w:pStyle w:val="Listaszerbekezds"/>
        <w:numPr>
          <w:ilvl w:val="0"/>
          <w:numId w:val="1"/>
        </w:numPr>
        <w:tabs>
          <w:tab w:val="left" w:pos="1418"/>
        </w:tabs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mezőgazdasági üzemi területeket a „különleges </w:t>
      </w:r>
      <w:proofErr w:type="gramStart"/>
      <w:r>
        <w:rPr>
          <w:rFonts w:ascii="Tahoma" w:hAnsi="Tahoma" w:cs="Tahoma"/>
          <w:sz w:val="24"/>
          <w:szCs w:val="24"/>
        </w:rPr>
        <w:t>területek„ közé</w:t>
      </w:r>
      <w:proofErr w:type="gramEnd"/>
      <w:r>
        <w:rPr>
          <w:rFonts w:ascii="Tahoma" w:hAnsi="Tahoma" w:cs="Tahoma"/>
          <w:sz w:val="24"/>
          <w:szCs w:val="24"/>
        </w:rPr>
        <w:t xml:space="preserve"> sorolja át.</w:t>
      </w:r>
    </w:p>
    <w:p w:rsidR="00742031" w:rsidRDefault="00742031" w:rsidP="00742031">
      <w:pPr>
        <w:tabs>
          <w:tab w:val="left" w:pos="1418"/>
        </w:tabs>
        <w:spacing w:after="240"/>
        <w:ind w:left="993" w:hanging="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 Az Acsádi út és övcsatorna </w:t>
      </w:r>
      <w:proofErr w:type="gramStart"/>
      <w:r>
        <w:rPr>
          <w:rFonts w:ascii="Tahoma" w:hAnsi="Tahoma" w:cs="Tahoma"/>
        </w:rPr>
        <w:t xml:space="preserve">melletti  </w:t>
      </w:r>
      <w:r w:rsidRPr="00F04B42">
        <w:rPr>
          <w:rFonts w:ascii="Tahoma" w:hAnsi="Tahoma" w:cs="Tahoma"/>
        </w:rPr>
        <w:t>10701</w:t>
      </w:r>
      <w:proofErr w:type="gramEnd"/>
      <w:r w:rsidRPr="00F04B42">
        <w:rPr>
          <w:rFonts w:ascii="Tahoma" w:hAnsi="Tahoma" w:cs="Tahoma"/>
        </w:rPr>
        <w:t>/2, 10904/2, 10903, 10902, 10905/2, 10901/3, 10901/2, 10938, 10941/3, 10939 és 10940</w:t>
      </w:r>
      <w:r w:rsidRPr="00F04B42">
        <w:rPr>
          <w:rFonts w:ascii="Tahoma" w:hAnsi="Tahoma" w:cs="Tahoma"/>
          <w:noProof/>
        </w:rPr>
        <w:t xml:space="preserve"> hrsz-ú </w:t>
      </w:r>
      <w:r>
        <w:rPr>
          <w:rFonts w:ascii="Tahoma" w:hAnsi="Tahoma" w:cs="Tahoma"/>
        </w:rPr>
        <w:t xml:space="preserve">sz. telkek </w:t>
      </w:r>
      <w:r w:rsidRPr="00877B5D">
        <w:rPr>
          <w:rFonts w:ascii="Tahoma" w:hAnsi="Tahoma" w:cs="Tahoma"/>
          <w:i/>
        </w:rPr>
        <w:t>kertes mezőgazdasági terület (MK),</w:t>
      </w:r>
      <w:r>
        <w:rPr>
          <w:rFonts w:ascii="Tahoma" w:hAnsi="Tahoma" w:cs="Tahoma"/>
        </w:rPr>
        <w:t xml:space="preserve"> felhasználásának módosítása </w:t>
      </w:r>
      <w:r w:rsidRPr="00877B5D">
        <w:rPr>
          <w:rFonts w:ascii="Tahoma" w:hAnsi="Tahoma" w:cs="Tahoma"/>
          <w:i/>
        </w:rPr>
        <w:t xml:space="preserve">kertvárosias </w:t>
      </w:r>
      <w:r>
        <w:rPr>
          <w:rFonts w:ascii="Tahoma" w:hAnsi="Tahoma" w:cs="Tahoma"/>
          <w:i/>
        </w:rPr>
        <w:t>lakó</w:t>
      </w:r>
      <w:r w:rsidRPr="00877B5D">
        <w:rPr>
          <w:rFonts w:ascii="Tahoma" w:hAnsi="Tahoma" w:cs="Tahoma"/>
          <w:i/>
        </w:rPr>
        <w:t>terület (</w:t>
      </w:r>
      <w:proofErr w:type="spellStart"/>
      <w:r w:rsidRPr="00877B5D">
        <w:rPr>
          <w:rFonts w:ascii="Tahoma" w:hAnsi="Tahoma" w:cs="Tahoma"/>
          <w:i/>
        </w:rPr>
        <w:t>Lke</w:t>
      </w:r>
      <w:proofErr w:type="spellEnd"/>
      <w:r w:rsidRPr="00877B5D"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 besorolásra. 0,94 hektár</w:t>
      </w:r>
    </w:p>
    <w:p w:rsidR="00742031" w:rsidRDefault="00742031" w:rsidP="00742031">
      <w:pPr>
        <w:tabs>
          <w:tab w:val="left" w:pos="1418"/>
        </w:tabs>
        <w:spacing w:after="240"/>
        <w:ind w:left="993" w:hanging="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A Széchenyi utca 2702 és 2703 </w:t>
      </w:r>
      <w:proofErr w:type="spellStart"/>
      <w:r>
        <w:rPr>
          <w:rFonts w:ascii="Tahoma" w:hAnsi="Tahoma" w:cs="Tahoma"/>
        </w:rPr>
        <w:t>hrsz</w:t>
      </w:r>
      <w:proofErr w:type="spellEnd"/>
      <w:r>
        <w:rPr>
          <w:rFonts w:ascii="Tahoma" w:hAnsi="Tahoma" w:cs="Tahoma"/>
        </w:rPr>
        <w:t xml:space="preserve"> telkeket </w:t>
      </w:r>
      <w:r w:rsidRPr="00877B5D">
        <w:rPr>
          <w:rFonts w:ascii="Tahoma" w:hAnsi="Tahoma" w:cs="Tahoma"/>
          <w:i/>
        </w:rPr>
        <w:t>kertvárosias lakóterületből (</w:t>
      </w:r>
      <w:proofErr w:type="spellStart"/>
      <w:r w:rsidRPr="00877B5D">
        <w:rPr>
          <w:rFonts w:ascii="Tahoma" w:hAnsi="Tahoma" w:cs="Tahoma"/>
          <w:i/>
        </w:rPr>
        <w:t>Lke</w:t>
      </w:r>
      <w:proofErr w:type="spellEnd"/>
      <w:r w:rsidRPr="00877B5D">
        <w:rPr>
          <w:rFonts w:ascii="Tahoma" w:hAnsi="Tahoma" w:cs="Tahoma"/>
          <w:i/>
        </w:rPr>
        <w:t>), településközponti vegyes területbe (</w:t>
      </w:r>
      <w:proofErr w:type="spellStart"/>
      <w:r w:rsidRPr="00877B5D">
        <w:rPr>
          <w:rFonts w:ascii="Tahoma" w:hAnsi="Tahoma" w:cs="Tahoma"/>
          <w:i/>
        </w:rPr>
        <w:t>Vt</w:t>
      </w:r>
      <w:proofErr w:type="spellEnd"/>
      <w:r>
        <w:rPr>
          <w:rFonts w:ascii="Tahoma" w:hAnsi="Tahoma" w:cs="Tahoma"/>
        </w:rPr>
        <w:t>) sorolja át. 0,09 hektár</w:t>
      </w:r>
    </w:p>
    <w:p w:rsidR="00742031" w:rsidRDefault="00742031" w:rsidP="00742031">
      <w:pPr>
        <w:tabs>
          <w:tab w:val="left" w:pos="1418"/>
        </w:tabs>
        <w:spacing w:after="240"/>
        <w:ind w:left="993" w:hanging="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3.3 A Virág utca 2596, 2597/1 és 2596/2 </w:t>
      </w:r>
      <w:proofErr w:type="spellStart"/>
      <w:r>
        <w:rPr>
          <w:rFonts w:ascii="Tahoma" w:hAnsi="Tahoma" w:cs="Tahoma"/>
        </w:rPr>
        <w:t>hrsz</w:t>
      </w:r>
      <w:proofErr w:type="spellEnd"/>
      <w:r>
        <w:rPr>
          <w:rFonts w:ascii="Tahoma" w:hAnsi="Tahoma" w:cs="Tahoma"/>
        </w:rPr>
        <w:t xml:space="preserve"> telkek </w:t>
      </w:r>
      <w:r w:rsidRPr="00EC77C0">
        <w:rPr>
          <w:rFonts w:ascii="Tahoma" w:hAnsi="Tahoma" w:cs="Tahoma"/>
          <w:i/>
        </w:rPr>
        <w:t>kisvárosias lakóterület (</w:t>
      </w:r>
      <w:proofErr w:type="spellStart"/>
      <w:r w:rsidRPr="00EC77C0">
        <w:rPr>
          <w:rFonts w:ascii="Tahoma" w:hAnsi="Tahoma" w:cs="Tahoma"/>
          <w:i/>
        </w:rPr>
        <w:t>Lk</w:t>
      </w:r>
      <w:proofErr w:type="spellEnd"/>
      <w:r w:rsidRPr="00EC77C0"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</w:rPr>
        <w:t xml:space="preserve">felhasználásának módosítása </w:t>
      </w:r>
      <w:r w:rsidRPr="00EC77C0">
        <w:rPr>
          <w:rFonts w:ascii="Tahoma" w:hAnsi="Tahoma" w:cs="Tahoma"/>
          <w:i/>
        </w:rPr>
        <w:t>településközponti vegyes terület (</w:t>
      </w:r>
      <w:proofErr w:type="spellStart"/>
      <w:r w:rsidRPr="00EC77C0">
        <w:rPr>
          <w:rFonts w:ascii="Tahoma" w:hAnsi="Tahoma" w:cs="Tahoma"/>
          <w:i/>
        </w:rPr>
        <w:t>Vt</w:t>
      </w:r>
      <w:proofErr w:type="spellEnd"/>
      <w:r w:rsidRPr="00EC77C0"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 besorolásra. 0,326 hektár. A Petőfi utcán közkert kerül lehatárolásra. 0,081 hektár</w:t>
      </w:r>
    </w:p>
    <w:p w:rsidR="00742031" w:rsidRDefault="00742031" w:rsidP="00742031">
      <w:pPr>
        <w:tabs>
          <w:tab w:val="left" w:pos="1418"/>
        </w:tabs>
        <w:spacing w:after="240"/>
        <w:ind w:left="993" w:hanging="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3.4 Az 1. </w:t>
      </w:r>
      <w:proofErr w:type="spellStart"/>
      <w:r>
        <w:rPr>
          <w:rFonts w:ascii="Tahoma" w:hAnsi="Tahoma" w:cs="Tahoma"/>
        </w:rPr>
        <w:t>sz</w:t>
      </w:r>
      <w:proofErr w:type="spellEnd"/>
      <w:r>
        <w:rPr>
          <w:rFonts w:ascii="Tahoma" w:hAnsi="Tahoma" w:cs="Tahoma"/>
        </w:rPr>
        <w:t xml:space="preserve"> mellékleten jelölt, Balassi utca melletti tömb </w:t>
      </w:r>
      <w:r w:rsidRPr="00EC77C0">
        <w:rPr>
          <w:rFonts w:ascii="Tahoma" w:hAnsi="Tahoma" w:cs="Tahoma"/>
          <w:i/>
        </w:rPr>
        <w:t>kisvárosias lakóterület (</w:t>
      </w:r>
      <w:proofErr w:type="spellStart"/>
      <w:r w:rsidRPr="00EC77C0">
        <w:rPr>
          <w:rFonts w:ascii="Tahoma" w:hAnsi="Tahoma" w:cs="Tahoma"/>
          <w:i/>
        </w:rPr>
        <w:t>Lk</w:t>
      </w:r>
      <w:proofErr w:type="spellEnd"/>
      <w:r w:rsidRPr="00EC77C0"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</w:rPr>
        <w:t xml:space="preserve">felhasználásának módosítása </w:t>
      </w:r>
      <w:r w:rsidRPr="00EC77C0">
        <w:rPr>
          <w:rFonts w:ascii="Tahoma" w:hAnsi="Tahoma" w:cs="Tahoma"/>
          <w:i/>
        </w:rPr>
        <w:t>településközponti vegyes terület (</w:t>
      </w:r>
      <w:proofErr w:type="spellStart"/>
      <w:r w:rsidRPr="00EC77C0">
        <w:rPr>
          <w:rFonts w:ascii="Tahoma" w:hAnsi="Tahoma" w:cs="Tahoma"/>
          <w:i/>
        </w:rPr>
        <w:t>Vt</w:t>
      </w:r>
      <w:proofErr w:type="spellEnd"/>
      <w:r w:rsidRPr="00EC77C0"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 besorolásra. 3,768 hektár</w:t>
      </w:r>
    </w:p>
    <w:p w:rsidR="00742031" w:rsidRDefault="00742031" w:rsidP="00742031">
      <w:pPr>
        <w:pStyle w:val="Listaszerbekezds"/>
        <w:autoSpaceDE w:val="0"/>
        <w:autoSpaceDN w:val="0"/>
        <w:adjustRightInd w:val="0"/>
        <w:spacing w:after="240"/>
        <w:ind w:left="993" w:hanging="285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3.5 </w:t>
      </w:r>
      <w:r w:rsidRPr="00EC77C0">
        <w:rPr>
          <w:rFonts w:ascii="Tahoma" w:hAnsi="Tahoma" w:cs="Tahoma"/>
          <w:sz w:val="24"/>
          <w:szCs w:val="24"/>
        </w:rPr>
        <w:t xml:space="preserve">Strázsa-hegyen a pincesorhoz kapcsolódó </w:t>
      </w:r>
      <w:r w:rsidRPr="00EC77C0">
        <w:rPr>
          <w:rFonts w:ascii="Tahoma" w:eastAsiaTheme="minorHAnsi" w:hAnsi="Tahoma" w:cs="Tahoma"/>
          <w:sz w:val="24"/>
          <w:szCs w:val="24"/>
          <w:lang w:eastAsia="en-US"/>
        </w:rPr>
        <w:t xml:space="preserve">9417/1, 9417/2 9417/3, 9417/4 </w:t>
      </w:r>
      <w:proofErr w:type="spellStart"/>
      <w:r w:rsidRPr="00EC77C0">
        <w:rPr>
          <w:rFonts w:ascii="Tahoma" w:eastAsiaTheme="minorHAnsi" w:hAnsi="Tahoma" w:cs="Tahoma"/>
          <w:sz w:val="24"/>
          <w:szCs w:val="24"/>
          <w:lang w:eastAsia="en-US"/>
        </w:rPr>
        <w:t>hrsz-ú</w:t>
      </w:r>
      <w:proofErr w:type="spellEnd"/>
      <w:r w:rsidRPr="00EC77C0">
        <w:rPr>
          <w:rFonts w:ascii="Tahoma" w:eastAsiaTheme="minorHAnsi" w:hAnsi="Tahoma" w:cs="Tahoma"/>
          <w:sz w:val="24"/>
          <w:szCs w:val="24"/>
          <w:lang w:eastAsia="en-US"/>
        </w:rPr>
        <w:t xml:space="preserve"> ingatlanok a jelenleg </w:t>
      </w:r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 xml:space="preserve">kertes mezőgazdasági </w:t>
      </w:r>
      <w:proofErr w:type="spellStart"/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>területfelhasználásból</w:t>
      </w:r>
      <w:proofErr w:type="spellEnd"/>
      <w:r w:rsidRPr="00EC77C0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>(MK)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 xml:space="preserve">különleges, egyéb mezőgazdasági-kereskedelmi, szolgáltató (pincesorok területe) </w:t>
      </w:r>
      <w:proofErr w:type="spellStart"/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>területfelhasználásba</w:t>
      </w:r>
      <w:proofErr w:type="spellEnd"/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 xml:space="preserve"> (</w:t>
      </w:r>
      <w:proofErr w:type="spellStart"/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>Mg-Gksz</w:t>
      </w:r>
      <w:proofErr w:type="spellEnd"/>
      <w:r w:rsidRPr="001E70A8">
        <w:rPr>
          <w:rFonts w:ascii="Tahoma" w:eastAsiaTheme="minorHAnsi" w:hAnsi="Tahoma" w:cs="Tahoma"/>
          <w:i/>
          <w:sz w:val="24"/>
          <w:szCs w:val="24"/>
          <w:lang w:eastAsia="en-US"/>
        </w:rPr>
        <w:t>)</w:t>
      </w:r>
      <w:r w:rsidRPr="00EC77C0">
        <w:rPr>
          <w:rFonts w:ascii="Tahoma" w:eastAsiaTheme="minorHAnsi" w:hAnsi="Tahoma" w:cs="Tahoma"/>
          <w:sz w:val="24"/>
          <w:szCs w:val="24"/>
          <w:lang w:eastAsia="en-US"/>
        </w:rPr>
        <w:t xml:space="preserve"> sorolása</w:t>
      </w:r>
      <w:r>
        <w:rPr>
          <w:rFonts w:ascii="Tahoma" w:eastAsiaTheme="minorHAnsi" w:hAnsi="Tahoma" w:cs="Tahoma"/>
          <w:sz w:val="24"/>
          <w:szCs w:val="24"/>
          <w:lang w:eastAsia="en-US"/>
        </w:rPr>
        <w:t>, 0,24 hektár</w:t>
      </w:r>
    </w:p>
    <w:p w:rsidR="00742031" w:rsidRPr="00097219" w:rsidRDefault="00742031" w:rsidP="00742031">
      <w:pPr>
        <w:autoSpaceDE w:val="0"/>
        <w:autoSpaceDN w:val="0"/>
        <w:adjustRightInd w:val="0"/>
        <w:ind w:left="993" w:hanging="285"/>
        <w:jc w:val="both"/>
        <w:rPr>
          <w:rFonts w:ascii="Tahoma" w:eastAsiaTheme="minorHAnsi" w:hAnsi="Tahoma" w:cs="Tahoma"/>
          <w:lang w:eastAsia="en-US"/>
        </w:rPr>
      </w:pPr>
      <w:r w:rsidRPr="00097219">
        <w:rPr>
          <w:rFonts w:ascii="Tahoma" w:eastAsiaTheme="minorHAnsi" w:hAnsi="Tahoma" w:cs="Tahoma"/>
          <w:lang w:eastAsia="en-US"/>
        </w:rPr>
        <w:lastRenderedPageBreak/>
        <w:t>3.6 Monor 3676, 3675, 3674, 3673/1, 3673/2, 3673/2/</w:t>
      </w:r>
      <w:proofErr w:type="gramStart"/>
      <w:r w:rsidRPr="00097219">
        <w:rPr>
          <w:rFonts w:ascii="Tahoma" w:eastAsiaTheme="minorHAnsi" w:hAnsi="Tahoma" w:cs="Tahoma"/>
          <w:lang w:eastAsia="en-US"/>
        </w:rPr>
        <w:t>A</w:t>
      </w:r>
      <w:proofErr w:type="gramEnd"/>
      <w:r w:rsidRPr="00097219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097219">
        <w:rPr>
          <w:rFonts w:ascii="Tahoma" w:eastAsiaTheme="minorHAnsi" w:hAnsi="Tahoma" w:cs="Tahoma"/>
          <w:lang w:eastAsia="en-US"/>
        </w:rPr>
        <w:t>hrsz-ú</w:t>
      </w:r>
      <w:proofErr w:type="spellEnd"/>
      <w:r w:rsidRPr="00097219">
        <w:rPr>
          <w:rFonts w:ascii="Tahoma" w:eastAsiaTheme="minorHAnsi" w:hAnsi="Tahoma" w:cs="Tahoma"/>
          <w:lang w:eastAsia="en-US"/>
        </w:rPr>
        <w:t xml:space="preserve"> ingatlanok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097219">
        <w:rPr>
          <w:rFonts w:ascii="Tahoma" w:eastAsiaTheme="minorHAnsi" w:hAnsi="Tahoma" w:cs="Tahoma"/>
          <w:lang w:eastAsia="en-US"/>
        </w:rPr>
        <w:t xml:space="preserve">jelenleg </w:t>
      </w:r>
      <w:r w:rsidRPr="0018557E">
        <w:rPr>
          <w:rFonts w:ascii="Tahoma" w:eastAsiaTheme="minorHAnsi" w:hAnsi="Tahoma" w:cs="Tahoma"/>
          <w:i/>
          <w:lang w:eastAsia="en-US"/>
        </w:rPr>
        <w:t>kertvárosias lakóterületből</w:t>
      </w:r>
      <w:r>
        <w:rPr>
          <w:rFonts w:ascii="Tahoma" w:eastAsiaTheme="minorHAnsi" w:hAnsi="Tahoma" w:cs="Tahoma"/>
          <w:i/>
          <w:lang w:eastAsia="en-US"/>
        </w:rPr>
        <w:t xml:space="preserve"> (</w:t>
      </w:r>
      <w:proofErr w:type="spellStart"/>
      <w:r>
        <w:rPr>
          <w:rFonts w:ascii="Tahoma" w:eastAsiaTheme="minorHAnsi" w:hAnsi="Tahoma" w:cs="Tahoma"/>
          <w:i/>
          <w:lang w:eastAsia="en-US"/>
        </w:rPr>
        <w:t>Lke</w:t>
      </w:r>
      <w:proofErr w:type="spellEnd"/>
      <w:r>
        <w:rPr>
          <w:rFonts w:ascii="Tahoma" w:eastAsiaTheme="minorHAnsi" w:hAnsi="Tahoma" w:cs="Tahoma"/>
          <w:i/>
          <w:lang w:eastAsia="en-US"/>
        </w:rPr>
        <w:t>)</w:t>
      </w:r>
      <w:r w:rsidRPr="00097219">
        <w:rPr>
          <w:rFonts w:ascii="Tahoma" w:eastAsiaTheme="minorHAnsi" w:hAnsi="Tahoma" w:cs="Tahoma"/>
          <w:lang w:eastAsia="en-US"/>
        </w:rPr>
        <w:t>, valamint a 3670, 3671, 3672/6, 3672/5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097219">
        <w:rPr>
          <w:rFonts w:ascii="Tahoma" w:eastAsiaTheme="minorHAnsi" w:hAnsi="Tahoma" w:cs="Tahoma"/>
          <w:lang w:eastAsia="en-US"/>
        </w:rPr>
        <w:t xml:space="preserve">és 3649 </w:t>
      </w:r>
      <w:proofErr w:type="spellStart"/>
      <w:r w:rsidRPr="00097219">
        <w:rPr>
          <w:rFonts w:ascii="Tahoma" w:eastAsiaTheme="minorHAnsi" w:hAnsi="Tahoma" w:cs="Tahoma"/>
          <w:lang w:eastAsia="en-US"/>
        </w:rPr>
        <w:t>hrsz-ú</w:t>
      </w:r>
      <w:proofErr w:type="spellEnd"/>
      <w:r w:rsidRPr="00097219">
        <w:rPr>
          <w:rFonts w:ascii="Tahoma" w:eastAsiaTheme="minorHAnsi" w:hAnsi="Tahoma" w:cs="Tahoma"/>
          <w:lang w:eastAsia="en-US"/>
        </w:rPr>
        <w:t xml:space="preserve"> ingatlanok jelenleg </w:t>
      </w:r>
      <w:r w:rsidRPr="0018557E">
        <w:rPr>
          <w:rFonts w:ascii="Tahoma" w:eastAsiaTheme="minorHAnsi" w:hAnsi="Tahoma" w:cs="Tahoma"/>
          <w:i/>
          <w:lang w:eastAsia="en-US"/>
        </w:rPr>
        <w:t xml:space="preserve">falusias lakóterületi </w:t>
      </w:r>
      <w:proofErr w:type="spellStart"/>
      <w:r w:rsidRPr="0018557E">
        <w:rPr>
          <w:rFonts w:ascii="Tahoma" w:eastAsiaTheme="minorHAnsi" w:hAnsi="Tahoma" w:cs="Tahoma"/>
          <w:i/>
          <w:lang w:eastAsia="en-US"/>
        </w:rPr>
        <w:t>területfelhasználásból</w:t>
      </w:r>
      <w:proofErr w:type="spellEnd"/>
      <w:r>
        <w:rPr>
          <w:rFonts w:ascii="Tahoma" w:eastAsiaTheme="minorHAnsi" w:hAnsi="Tahoma" w:cs="Tahoma"/>
          <w:i/>
          <w:lang w:eastAsia="en-US"/>
        </w:rPr>
        <w:t xml:space="preserve"> (</w:t>
      </w:r>
      <w:proofErr w:type="spellStart"/>
      <w:r>
        <w:rPr>
          <w:rFonts w:ascii="Tahoma" w:eastAsiaTheme="minorHAnsi" w:hAnsi="Tahoma" w:cs="Tahoma"/>
          <w:i/>
          <w:lang w:eastAsia="en-US"/>
        </w:rPr>
        <w:t>Lf</w:t>
      </w:r>
      <w:proofErr w:type="spellEnd"/>
      <w:r>
        <w:rPr>
          <w:rFonts w:ascii="Tahoma" w:eastAsiaTheme="minorHAnsi" w:hAnsi="Tahoma" w:cs="Tahoma"/>
          <w:i/>
          <w:lang w:eastAsia="en-US"/>
        </w:rPr>
        <w:t>)</w:t>
      </w:r>
      <w:r w:rsidRPr="0018557E">
        <w:rPr>
          <w:rFonts w:ascii="Tahoma" w:eastAsiaTheme="minorHAnsi" w:hAnsi="Tahoma" w:cs="Tahoma"/>
          <w:i/>
          <w:lang w:eastAsia="en-US"/>
        </w:rPr>
        <w:t xml:space="preserve"> Településközpont vegyes (</w:t>
      </w:r>
      <w:proofErr w:type="spellStart"/>
      <w:r w:rsidRPr="0018557E">
        <w:rPr>
          <w:rFonts w:ascii="Tahoma" w:eastAsiaTheme="minorHAnsi" w:hAnsi="Tahoma" w:cs="Tahoma"/>
          <w:i/>
          <w:lang w:eastAsia="en-US"/>
        </w:rPr>
        <w:t>Vt</w:t>
      </w:r>
      <w:proofErr w:type="spellEnd"/>
      <w:r w:rsidRPr="0018557E">
        <w:rPr>
          <w:rFonts w:ascii="Tahoma" w:eastAsiaTheme="minorHAnsi" w:hAnsi="Tahoma" w:cs="Tahoma"/>
          <w:i/>
          <w:lang w:eastAsia="en-US"/>
        </w:rPr>
        <w:t xml:space="preserve">) </w:t>
      </w:r>
      <w:proofErr w:type="spellStart"/>
      <w:r w:rsidRPr="00097219">
        <w:rPr>
          <w:rFonts w:ascii="Tahoma" w:eastAsiaTheme="minorHAnsi" w:hAnsi="Tahoma" w:cs="Tahoma"/>
          <w:lang w:eastAsia="en-US"/>
        </w:rPr>
        <w:t>terület</w:t>
      </w:r>
      <w:r>
        <w:rPr>
          <w:rFonts w:ascii="Tahoma" w:eastAsiaTheme="minorHAnsi" w:hAnsi="Tahoma" w:cs="Tahoma"/>
          <w:lang w:eastAsia="en-US"/>
        </w:rPr>
        <w:softHyphen/>
        <w:t>felhasználásba</w:t>
      </w:r>
      <w:proofErr w:type="spellEnd"/>
      <w:r>
        <w:rPr>
          <w:rFonts w:ascii="Tahoma" w:eastAsiaTheme="minorHAnsi" w:hAnsi="Tahoma" w:cs="Tahoma"/>
          <w:lang w:eastAsia="en-US"/>
        </w:rPr>
        <w:t xml:space="preserve"> sorolódnak át. 1,5 hektár</w:t>
      </w:r>
    </w:p>
    <w:p w:rsidR="00742031" w:rsidRPr="00EC77C0" w:rsidRDefault="00742031" w:rsidP="00742031">
      <w:pPr>
        <w:tabs>
          <w:tab w:val="left" w:pos="1418"/>
        </w:tabs>
        <w:spacing w:after="240"/>
        <w:ind w:left="1138"/>
        <w:jc w:val="both"/>
        <w:rPr>
          <w:rFonts w:ascii="Tahoma" w:hAnsi="Tahoma" w:cs="Tahoma"/>
        </w:rPr>
      </w:pPr>
    </w:p>
    <w:p w:rsidR="00742031" w:rsidRPr="00AC7B75" w:rsidRDefault="00742031" w:rsidP="00742031">
      <w:pPr>
        <w:tabs>
          <w:tab w:val="num" w:pos="426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A</w:t>
      </w:r>
      <w:r w:rsidRPr="00AC7B75">
        <w:rPr>
          <w:rFonts w:ascii="Tahoma" w:hAnsi="Tahoma" w:cs="Tahoma"/>
        </w:rPr>
        <w:t xml:space="preserve"> jelenleg hatályos Településszerkezeti Terv Leírását az 1. sz. melléklet szerint lehatárolt területre vonatkozóan módosítja és a Településszerkezeti Terv módosítás szöveges munkarészét, a Településszerkezeti Terv módosítás Leírását a</w:t>
      </w:r>
      <w:r w:rsidRPr="00AC7B75">
        <w:rPr>
          <w:rFonts w:ascii="Tahoma" w:hAnsi="Tahoma" w:cs="Tahoma"/>
          <w:b/>
        </w:rPr>
        <w:t xml:space="preserve"> </w:t>
      </w:r>
      <w:r w:rsidRPr="00AC7B75">
        <w:rPr>
          <w:rFonts w:ascii="Tahoma" w:hAnsi="Tahoma" w:cs="Tahoma"/>
        </w:rPr>
        <w:t>2. számú melléklet szerint állapítja meg;</w:t>
      </w:r>
    </w:p>
    <w:p w:rsidR="00742031" w:rsidRPr="0018557E" w:rsidRDefault="00742031" w:rsidP="00742031">
      <w:pPr>
        <w:jc w:val="both"/>
        <w:rPr>
          <w:rFonts w:ascii="Tahoma" w:hAnsi="Tahoma" w:cs="Tahoma"/>
        </w:rPr>
      </w:pPr>
    </w:p>
    <w:p w:rsidR="00742031" w:rsidRPr="00AC7B75" w:rsidRDefault="00742031" w:rsidP="00742031">
      <w:pPr>
        <w:tabs>
          <w:tab w:val="left" w:pos="426"/>
        </w:tabs>
        <w:ind w:left="420" w:firstLine="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A</w:t>
      </w:r>
      <w:r w:rsidRPr="00AC7B75">
        <w:rPr>
          <w:rFonts w:ascii="Tahoma" w:hAnsi="Tahoma" w:cs="Tahoma"/>
        </w:rPr>
        <w:t xml:space="preserve"> településfejlesztési, településrendezési tevékenységek el</w:t>
      </w:r>
      <w:r>
        <w:rPr>
          <w:rFonts w:ascii="Tahoma" w:hAnsi="Tahoma" w:cs="Tahoma"/>
        </w:rPr>
        <w:t xml:space="preserve">őkészítése során az 1. pontban </w:t>
      </w:r>
      <w:r w:rsidRPr="00AC7B75">
        <w:rPr>
          <w:rFonts w:ascii="Tahoma" w:hAnsi="Tahoma" w:cs="Tahoma"/>
        </w:rPr>
        <w:t xml:space="preserve">megállapított Településszerkezeti </w:t>
      </w:r>
      <w:proofErr w:type="gramStart"/>
      <w:r w:rsidRPr="00AC7B75">
        <w:rPr>
          <w:rFonts w:ascii="Tahoma" w:hAnsi="Tahoma" w:cs="Tahoma"/>
        </w:rPr>
        <w:t>Terv módosításban</w:t>
      </w:r>
      <w:proofErr w:type="gramEnd"/>
      <w:r w:rsidRPr="00AC7B75">
        <w:rPr>
          <w:rFonts w:ascii="Tahoma" w:hAnsi="Tahoma" w:cs="Tahoma"/>
        </w:rPr>
        <w:t xml:space="preserve"> (1. sz. melléklet) és az elválaszthatatlan részét képező Leírásában (2. sz. melléklet) foglaltakat együttesen kell alkalmazni. </w:t>
      </w:r>
    </w:p>
    <w:p w:rsidR="00742031" w:rsidRPr="0018557E" w:rsidRDefault="00742031" w:rsidP="00742031">
      <w:pPr>
        <w:jc w:val="both"/>
        <w:rPr>
          <w:rFonts w:ascii="Tahoma" w:hAnsi="Tahoma" w:cs="Tahoma"/>
        </w:rPr>
      </w:pPr>
    </w:p>
    <w:p w:rsidR="00742031" w:rsidRPr="0018557E" w:rsidRDefault="00742031" w:rsidP="00742031">
      <w:pPr>
        <w:tabs>
          <w:tab w:val="left" w:pos="704"/>
        </w:tabs>
        <w:jc w:val="both"/>
        <w:rPr>
          <w:rFonts w:ascii="Tahoma" w:hAnsi="Tahoma" w:cs="Tahoma"/>
        </w:rPr>
      </w:pPr>
    </w:p>
    <w:p w:rsidR="00742031" w:rsidRPr="00AC7B75" w:rsidRDefault="00742031" w:rsidP="00742031">
      <w:pPr>
        <w:tabs>
          <w:tab w:val="left" w:pos="70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Monor, </w:t>
      </w:r>
      <w:proofErr w:type="gramStart"/>
      <w:r>
        <w:rPr>
          <w:rFonts w:ascii="Tahoma" w:hAnsi="Tahoma" w:cs="Tahoma"/>
        </w:rPr>
        <w:t>2012</w:t>
      </w:r>
      <w:r w:rsidRPr="00AC7B75">
        <w:rPr>
          <w:rFonts w:ascii="Tahoma" w:hAnsi="Tahoma" w:cs="Tahoma"/>
        </w:rPr>
        <w:t>. …</w:t>
      </w:r>
      <w:proofErr w:type="gramEnd"/>
      <w:r w:rsidRPr="00AC7B75">
        <w:rPr>
          <w:rFonts w:ascii="Tahoma" w:hAnsi="Tahoma" w:cs="Tahoma"/>
        </w:rPr>
        <w:t>…………………</w:t>
      </w:r>
    </w:p>
    <w:p w:rsidR="00742031" w:rsidRPr="00AC7B75" w:rsidRDefault="00742031" w:rsidP="00742031">
      <w:pPr>
        <w:rPr>
          <w:rFonts w:ascii="Tahoma" w:hAnsi="Tahoma" w:cs="Tahoma"/>
        </w:rPr>
      </w:pPr>
    </w:p>
    <w:p w:rsidR="00742031" w:rsidRDefault="00742031" w:rsidP="00742031">
      <w:pPr>
        <w:rPr>
          <w:rFonts w:ascii="Tahoma" w:hAnsi="Tahoma" w:cs="Tahoma"/>
        </w:rPr>
      </w:pPr>
    </w:p>
    <w:p w:rsidR="00742031" w:rsidRDefault="00742031" w:rsidP="00742031">
      <w:pPr>
        <w:rPr>
          <w:rFonts w:ascii="Tahoma" w:hAnsi="Tahoma" w:cs="Tahoma"/>
        </w:rPr>
      </w:pPr>
    </w:p>
    <w:p w:rsidR="00742031" w:rsidRDefault="00742031" w:rsidP="00742031">
      <w:pPr>
        <w:rPr>
          <w:rFonts w:ascii="Tahoma" w:hAnsi="Tahoma" w:cs="Tahoma"/>
        </w:rPr>
      </w:pPr>
    </w:p>
    <w:p w:rsidR="00742031" w:rsidRPr="00B45365" w:rsidRDefault="00742031" w:rsidP="00742031">
      <w:pPr>
        <w:spacing w:after="120"/>
        <w:rPr>
          <w:rFonts w:ascii="Tahoma" w:hAnsi="Tahoma" w:cs="Tahoma"/>
        </w:rPr>
      </w:pPr>
    </w:p>
    <w:p w:rsidR="00742031" w:rsidRPr="00B45365" w:rsidRDefault="00742031" w:rsidP="00742031">
      <w:pPr>
        <w:spacing w:after="120"/>
        <w:rPr>
          <w:rFonts w:ascii="Tahoma" w:hAnsi="Tahoma" w:cs="Tahoma"/>
        </w:rPr>
      </w:pPr>
    </w:p>
    <w:p w:rsidR="00742031" w:rsidRPr="00B45365" w:rsidRDefault="00742031" w:rsidP="00742031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Pogácsás Tibor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4536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</w:t>
      </w:r>
      <w:proofErr w:type="spellEnd"/>
      <w:r>
        <w:rPr>
          <w:rFonts w:ascii="Tahoma" w:hAnsi="Tahoma" w:cs="Tahoma"/>
        </w:rPr>
        <w:t xml:space="preserve"> </w:t>
      </w:r>
      <w:r w:rsidRPr="00B45365">
        <w:rPr>
          <w:rFonts w:ascii="Tahoma" w:hAnsi="Tahoma" w:cs="Tahoma"/>
        </w:rPr>
        <w:t>Urbán Hajnalka</w:t>
      </w:r>
    </w:p>
    <w:p w:rsidR="00742031" w:rsidRPr="00B45365" w:rsidRDefault="00742031" w:rsidP="00742031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polgármester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45365">
        <w:rPr>
          <w:rFonts w:ascii="Tahoma" w:hAnsi="Tahoma" w:cs="Tahoma"/>
        </w:rPr>
        <w:t>jegyző</w:t>
      </w:r>
    </w:p>
    <w:p w:rsidR="00742031" w:rsidRPr="00AC7B75" w:rsidRDefault="00742031" w:rsidP="00742031">
      <w:pPr>
        <w:rPr>
          <w:rFonts w:ascii="Tahoma" w:hAnsi="Tahoma" w:cs="Tahoma"/>
        </w:rPr>
      </w:pPr>
    </w:p>
    <w:p w:rsidR="00742031" w:rsidRPr="00AC7B75" w:rsidRDefault="00742031" w:rsidP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742031" w:rsidRDefault="00742031">
      <w:pPr>
        <w:rPr>
          <w:rFonts w:ascii="Tahoma" w:hAnsi="Tahoma" w:cs="Tahoma"/>
        </w:rPr>
      </w:pPr>
    </w:p>
    <w:p w:rsidR="00035088" w:rsidRDefault="0003508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728B3" w:rsidRPr="00E16F9D" w:rsidRDefault="008728B3" w:rsidP="008728B3">
      <w:pPr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  <w:r w:rsidRPr="00E16F9D">
        <w:rPr>
          <w:rFonts w:ascii="Tahoma" w:hAnsi="Tahoma" w:cs="Tahoma"/>
          <w:bCs/>
        </w:rPr>
        <w:lastRenderedPageBreak/>
        <w:t>2. sz. melléklet</w:t>
      </w:r>
    </w:p>
    <w:p w:rsidR="008728B3" w:rsidRDefault="008728B3" w:rsidP="008728B3">
      <w:pPr>
        <w:autoSpaceDE w:val="0"/>
        <w:autoSpaceDN w:val="0"/>
        <w:adjustRightInd w:val="0"/>
        <w:rPr>
          <w:rFonts w:ascii="HAvantGarde-Bold" w:hAnsi="HAvantGarde-Bold" w:cs="HAvantGarde-Bold"/>
          <w:b/>
          <w:bCs/>
          <w:sz w:val="28"/>
          <w:szCs w:val="28"/>
        </w:rPr>
      </w:pPr>
    </w:p>
    <w:p w:rsidR="008728B3" w:rsidRPr="00E16F9D" w:rsidRDefault="008728B3" w:rsidP="008728B3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</w:rPr>
      </w:pPr>
      <w:r w:rsidRPr="00E16F9D">
        <w:rPr>
          <w:rFonts w:ascii="Tahoma" w:hAnsi="Tahoma" w:cs="Tahoma"/>
          <w:b/>
          <w:bCs/>
        </w:rPr>
        <w:t xml:space="preserve">II.2. </w:t>
      </w:r>
      <w:proofErr w:type="spellStart"/>
      <w:r w:rsidRPr="00E16F9D">
        <w:rPr>
          <w:rFonts w:ascii="Tahoma" w:hAnsi="Tahoma" w:cs="Tahoma"/>
          <w:b/>
          <w:bCs/>
        </w:rPr>
        <w:t>Területfelhasználás</w:t>
      </w:r>
      <w:proofErr w:type="spellEnd"/>
      <w:r w:rsidRPr="00E16F9D">
        <w:rPr>
          <w:rFonts w:ascii="Tahoma" w:hAnsi="Tahoma" w:cs="Tahoma"/>
          <w:b/>
          <w:bCs/>
        </w:rPr>
        <w:t xml:space="preserve"> tagolása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település közigazgatási területének részei</w:t>
      </w:r>
      <w:r w:rsidRPr="00E16F9D">
        <w:rPr>
          <w:rFonts w:ascii="Tahoma" w:hAnsi="Tahoma" w:cs="Tahoma"/>
        </w:rPr>
        <w:t xml:space="preserve"> az alábbi </w:t>
      </w:r>
      <w:proofErr w:type="spellStart"/>
      <w:r w:rsidRPr="00E16F9D">
        <w:rPr>
          <w:rFonts w:ascii="Tahoma" w:hAnsi="Tahoma" w:cs="Tahoma"/>
        </w:rPr>
        <w:t>területfelhasználási</w:t>
      </w:r>
      <w:proofErr w:type="spellEnd"/>
      <w:r w:rsidRPr="00E16F9D">
        <w:rPr>
          <w:rFonts w:ascii="Tahoma" w:hAnsi="Tahoma" w:cs="Tahoma"/>
        </w:rPr>
        <w:t xml:space="preserve"> egységekbe</w:t>
      </w:r>
      <w:r>
        <w:rPr>
          <w:rFonts w:ascii="Tahoma" w:hAnsi="Tahoma" w:cs="Tahoma"/>
        </w:rPr>
        <w:t xml:space="preserve"> vannak besorolva</w:t>
      </w:r>
      <w:r w:rsidRPr="00E16F9D">
        <w:rPr>
          <w:rFonts w:ascii="Tahoma" w:hAnsi="Tahoma" w:cs="Tahoma"/>
        </w:rPr>
        <w:t>: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</w:rPr>
      </w:pPr>
      <w:r w:rsidRPr="00E16F9D">
        <w:rPr>
          <w:rFonts w:ascii="Tahoma" w:hAnsi="Tahoma" w:cs="Tahoma"/>
          <w:b/>
          <w:bCs/>
        </w:rPr>
        <w:t>Beépítésre szánt területek: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Ezen belül lakóterületek,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Nagyvárosias lakóterület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Kisvárosias lakóterület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Kertvárosias lakóterület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Falusias lakóterület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proofErr w:type="gramStart"/>
      <w:r w:rsidRPr="00E16F9D">
        <w:rPr>
          <w:rFonts w:ascii="Tahoma" w:hAnsi="Tahoma" w:cs="Tahoma"/>
        </w:rPr>
        <w:t>vegyes</w:t>
      </w:r>
      <w:proofErr w:type="gramEnd"/>
      <w:r w:rsidRPr="00E16F9D">
        <w:rPr>
          <w:rFonts w:ascii="Tahoma" w:hAnsi="Tahoma" w:cs="Tahoma"/>
        </w:rPr>
        <w:t xml:space="preserve"> területek,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Településközpont vegyes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proofErr w:type="gramStart"/>
      <w:r w:rsidRPr="00E16F9D">
        <w:rPr>
          <w:rFonts w:ascii="Tahoma" w:hAnsi="Tahoma" w:cs="Tahoma"/>
        </w:rPr>
        <w:t>gazdasági</w:t>
      </w:r>
      <w:proofErr w:type="gramEnd"/>
      <w:r w:rsidRPr="00E16F9D">
        <w:rPr>
          <w:rFonts w:ascii="Tahoma" w:hAnsi="Tahoma" w:cs="Tahoma"/>
        </w:rPr>
        <w:t xml:space="preserve"> területek,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Kereskedelmi</w:t>
      </w:r>
      <w:r>
        <w:rPr>
          <w:rFonts w:ascii="Tahoma" w:hAnsi="Tahoma" w:cs="Tahoma"/>
        </w:rPr>
        <w:t xml:space="preserve"> szolgáltató</w:t>
      </w:r>
      <w:r w:rsidRPr="00E16F9D">
        <w:rPr>
          <w:rFonts w:ascii="Tahoma" w:hAnsi="Tahoma" w:cs="Tahoma"/>
        </w:rPr>
        <w:t xml:space="preserve"> gazdasági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proofErr w:type="gramStart"/>
      <w:r w:rsidRPr="00E16F9D">
        <w:rPr>
          <w:rFonts w:ascii="Tahoma" w:hAnsi="Tahoma" w:cs="Tahoma"/>
        </w:rPr>
        <w:t>üdülőterület</w:t>
      </w:r>
      <w:proofErr w:type="gramEnd"/>
      <w:r w:rsidRPr="00E16F9D">
        <w:rPr>
          <w:rFonts w:ascii="Tahoma" w:hAnsi="Tahoma" w:cs="Tahoma"/>
        </w:rPr>
        <w:t>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Hétvégi házas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proofErr w:type="gramStart"/>
      <w:r w:rsidRPr="00E16F9D">
        <w:rPr>
          <w:rFonts w:ascii="Tahoma" w:hAnsi="Tahoma" w:cs="Tahoma"/>
        </w:rPr>
        <w:t>különleges</w:t>
      </w:r>
      <w:proofErr w:type="gramEnd"/>
      <w:r w:rsidRPr="00E16F9D">
        <w:rPr>
          <w:rFonts w:ascii="Tahoma" w:hAnsi="Tahoma" w:cs="Tahoma"/>
        </w:rPr>
        <w:t xml:space="preserve"> terület,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Különleges – kereskedelmi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Különleges – sportterület</w:t>
      </w:r>
    </w:p>
    <w:p w:rsidR="008728B3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Különleges – temető terület</w:t>
      </w:r>
    </w:p>
    <w:p w:rsidR="00156973" w:rsidRDefault="0015697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>
        <w:rPr>
          <w:rFonts w:ascii="Tahoma" w:eastAsia="Arial" w:hAnsi="Tahoma" w:cs="Tahoma"/>
        </w:rPr>
        <w:t xml:space="preserve">- </w:t>
      </w:r>
      <w:r w:rsidRPr="004D51DD">
        <w:rPr>
          <w:rFonts w:ascii="Tahoma" w:eastAsia="Arial" w:hAnsi="Tahoma" w:cs="Tahoma"/>
        </w:rPr>
        <w:t>Mezőgazdasági üzemi létesítmények területe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  <w:i/>
        </w:rPr>
      </w:pPr>
      <w:r w:rsidRPr="00E16F9D">
        <w:rPr>
          <w:rFonts w:ascii="Tahoma" w:hAnsi="Tahoma" w:cs="Tahoma"/>
          <w:i/>
        </w:rPr>
        <w:t>- Különleges – egyéb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2124"/>
        <w:jc w:val="both"/>
        <w:rPr>
          <w:rFonts w:ascii="Tahoma" w:hAnsi="Tahoma" w:cs="Tahoma"/>
          <w:i/>
        </w:rPr>
      </w:pPr>
      <w:r w:rsidRPr="00E16F9D">
        <w:rPr>
          <w:rFonts w:ascii="Tahoma" w:hAnsi="Tahoma" w:cs="Tahoma"/>
          <w:i/>
        </w:rPr>
        <w:t>- Mezőgazdasági, kereskedelmi, szolgáltató gazdasági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</w:p>
    <w:p w:rsidR="008728B3" w:rsidRPr="00E16F9D" w:rsidRDefault="008728B3" w:rsidP="008728B3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</w:rPr>
      </w:pPr>
      <w:r w:rsidRPr="00E16F9D">
        <w:rPr>
          <w:rFonts w:ascii="Tahoma" w:hAnsi="Tahoma" w:cs="Tahoma"/>
          <w:b/>
          <w:bCs/>
        </w:rPr>
        <w:t>Beépítésre nem szánt területek: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Közlekedési- és közműterület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Zöldterületek, azaz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1416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- Közpark, közkert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Mezőgazdasági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Erdőterület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Vízgazdálkodási terület</w:t>
      </w:r>
    </w:p>
    <w:p w:rsidR="008728B3" w:rsidRPr="00E16F9D" w:rsidRDefault="008728B3" w:rsidP="008728B3">
      <w:pPr>
        <w:autoSpaceDE w:val="0"/>
        <w:autoSpaceDN w:val="0"/>
        <w:adjustRightInd w:val="0"/>
        <w:spacing w:after="120"/>
        <w:ind w:left="708"/>
        <w:jc w:val="both"/>
        <w:rPr>
          <w:rFonts w:ascii="Tahoma" w:hAnsi="Tahoma" w:cs="Tahoma"/>
        </w:rPr>
      </w:pPr>
      <w:r w:rsidRPr="00E16F9D">
        <w:rPr>
          <w:rFonts w:ascii="Tahoma" w:hAnsi="Tahoma" w:cs="Tahoma"/>
        </w:rPr>
        <w:t>Védett, védelemre tervezett és védő területek</w:t>
      </w:r>
    </w:p>
    <w:p w:rsidR="008728B3" w:rsidRPr="00E16F9D" w:rsidRDefault="008728B3" w:rsidP="008728B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42031" w:rsidRPr="00742031" w:rsidRDefault="00742031">
      <w:pPr>
        <w:rPr>
          <w:rFonts w:ascii="Tahoma" w:hAnsi="Tahoma" w:cs="Tahoma"/>
        </w:rPr>
      </w:pPr>
    </w:p>
    <w:sectPr w:rsidR="00742031" w:rsidRPr="00742031" w:rsidSect="0085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vantGar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vantGard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BEA"/>
    <w:multiLevelType w:val="hybridMultilevel"/>
    <w:tmpl w:val="360E093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031"/>
    <w:rsid w:val="00035088"/>
    <w:rsid w:val="00156973"/>
    <w:rsid w:val="00742031"/>
    <w:rsid w:val="00853510"/>
    <w:rsid w:val="008728B3"/>
    <w:rsid w:val="00923005"/>
    <w:rsid w:val="0094732A"/>
    <w:rsid w:val="00A35379"/>
    <w:rsid w:val="00F8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031"/>
    <w:pPr>
      <w:spacing w:after="0" w:line="240" w:lineRule="auto"/>
    </w:pPr>
    <w:rPr>
      <w:rFonts w:ascii="HAvantGarde" w:eastAsia="Times New Roman" w:hAnsi="HAvantGard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aliases w:val="Szövegtörzs 2 Okean"/>
    <w:basedOn w:val="Norml"/>
    <w:link w:val="Szvegtrzs2Char"/>
    <w:rsid w:val="00742031"/>
    <w:pPr>
      <w:jc w:val="both"/>
    </w:pPr>
    <w:rPr>
      <w:rFonts w:ascii="Times New Roman" w:hAnsi="Times New Roman"/>
      <w:i/>
      <w:szCs w:val="20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rsid w:val="00742031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4203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3</cp:revision>
  <dcterms:created xsi:type="dcterms:W3CDTF">2012-05-30T14:07:00Z</dcterms:created>
  <dcterms:modified xsi:type="dcterms:W3CDTF">2012-05-30T14:11:00Z</dcterms:modified>
</cp:coreProperties>
</file>