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bCs/>
          <w:sz w:val="28"/>
          <w:szCs w:val="28"/>
        </w:rPr>
      </w:pPr>
      <w:r>
        <w:rPr>
          <w:b/>
          <w:bCs/>
          <w:sz w:val="28"/>
          <w:szCs w:val="28"/>
        </w:rPr>
        <w:t xml:space="preserve">KÉRELEM</w:t>
      </w:r>
      <w:r/>
    </w:p>
    <w:p>
      <w:pPr>
        <w:jc w:val="center"/>
        <w:rPr>
          <w:b/>
        </w:rPr>
      </w:pPr>
      <w:r>
        <w:rPr>
          <w:b/>
        </w:rPr>
        <w:t xml:space="preserve">az</w:t>
      </w:r>
      <w:r>
        <w:rPr>
          <w:b/>
        </w:rPr>
        <w:t xml:space="preserve"> ingatlanon található lakások számáról szóló hatósági bizonyítvány kiadása iránt </w:t>
      </w:r>
      <w:r/>
    </w:p>
    <w:p>
      <w:pPr>
        <w:jc w:val="both"/>
      </w:pPr>
      <w:r>
        <w:t xml:space="preserve">(a családi fogyasztói közösségekre, valamint a családi otthonteremtési </w:t>
      </w:r>
      <w:r>
        <w:t xml:space="preserve">kedvezményből megvalósuló tetőtér-beépítésekre vonatkozó kedvezmények bevezetése érdekében az egyes egyetemes szolgáltatási árszabások meghatározásáról szóló 259/2022. (VII. 21.) Korm. rendelet módosításáról szóló 345/2022. (IX. 9.) Korm. rendelet alapján)</w:t>
      </w:r>
      <w:r/>
    </w:p>
    <w:p>
      <w:pPr>
        <w:jc w:val="center"/>
      </w:pPr>
      <w:r/>
      <w:r/>
    </w:p>
    <w:p>
      <w:pPr>
        <w:pStyle w:val="654"/>
        <w:numPr>
          <w:ilvl w:val="0"/>
          <w:numId w:val="1"/>
        </w:numPr>
        <w:ind w:left="0" w:firstLine="0"/>
        <w:rPr>
          <w:b/>
          <w:bCs/>
          <w:u w:val="single"/>
        </w:rPr>
      </w:pPr>
      <w:r>
        <w:rPr>
          <w:b/>
          <w:bCs/>
          <w:u w:val="single"/>
        </w:rPr>
        <w:t xml:space="preserve">A kérelmezett ingatlan</w:t>
      </w:r>
      <w:r>
        <w:rPr>
          <w:b/>
          <w:bCs/>
          <w:u w:val="single"/>
        </w:rPr>
        <w:t xml:space="preserve"> (fogyasztási hely)</w:t>
      </w:r>
      <w:r>
        <w:rPr>
          <w:b/>
          <w:bCs/>
          <w:u w:val="single"/>
        </w:rPr>
        <w:t xml:space="preserve"> adatai</w:t>
      </w:r>
      <w:r/>
    </w:p>
    <w:p>
      <w:r>
        <w:t xml:space="preserve">Cím</w:t>
      </w:r>
      <w:r>
        <w:t xml:space="preserve">: …</w:t>
      </w:r>
      <w:r>
        <w:t xml:space="preserve">…………………………………………………………………………………………………………………………………………………..</w:t>
      </w:r>
      <w:r/>
    </w:p>
    <w:p>
      <w:r>
        <w:t xml:space="preserve">Helyrajzi szám</w:t>
      </w:r>
      <w:r>
        <w:t xml:space="preserve">: …</w:t>
      </w:r>
      <w:r>
        <w:t xml:space="preserve">………………………………………………………………………………………………………………………………….</w:t>
      </w:r>
      <w:r/>
    </w:p>
    <w:p>
      <w:r>
        <w:t xml:space="preserve">Mérési </w:t>
      </w:r>
      <w:r>
        <w:t xml:space="preserve">pont azonosító</w:t>
      </w:r>
      <w:r>
        <w:t xml:space="preserve"> (a számlarészletező bal felső sarkában található): ……………………………………………</w:t>
      </w:r>
      <w:r/>
    </w:p>
    <w:p>
      <w:r>
        <w:t xml:space="preserve">Az ingatlan tulajdonosa</w:t>
      </w:r>
      <w:r>
        <w:t xml:space="preserve">: …</w:t>
      </w:r>
      <w:r>
        <w:t xml:space="preserve">……………………………………………………………………………………………………………………</w:t>
      </w:r>
      <w:r/>
    </w:p>
    <w:p>
      <w:r>
        <w:t xml:space="preserve">Az ingatlanon található lakások száma</w:t>
      </w:r>
      <w:r>
        <w:t xml:space="preserve">: …</w:t>
      </w:r>
      <w:r>
        <w:t xml:space="preserve">…………………………………………………………………………………………….</w:t>
      </w:r>
      <w:r/>
    </w:p>
    <w:p>
      <w:r/>
      <w:r/>
    </w:p>
    <w:p>
      <w:pPr>
        <w:pStyle w:val="654"/>
        <w:numPr>
          <w:ilvl w:val="0"/>
          <w:numId w:val="1"/>
        </w:numPr>
        <w:ind w:left="0" w:firstLine="0"/>
        <w:rPr>
          <w:b/>
          <w:u w:val="single"/>
        </w:rPr>
      </w:pPr>
      <w:r>
        <w:rPr>
          <w:b/>
        </w:rPr>
        <w:t xml:space="preserve">A </w:t>
      </w:r>
      <w:r>
        <w:rPr>
          <w:b/>
          <w:u w:val="single"/>
        </w:rPr>
        <w:t xml:space="preserve">f</w:t>
      </w:r>
      <w:r>
        <w:rPr>
          <w:b/>
          <w:u w:val="single"/>
        </w:rPr>
        <w:t xml:space="preserve">ogyasztó</w:t>
      </w:r>
      <w:r>
        <w:rPr>
          <w:b/>
          <w:u w:val="single"/>
        </w:rPr>
        <w:t xml:space="preserve"> / kérelmező (földgáz vételezésére vonatkozó szerződéssel rendelkező lakossági fogyasztó)</w:t>
      </w:r>
      <w:r>
        <w:rPr>
          <w:b/>
          <w:bCs/>
          <w:u w:val="single"/>
        </w:rPr>
        <w:t xml:space="preserve"> adatai </w:t>
      </w:r>
      <w:r/>
    </w:p>
    <w:p>
      <w:r>
        <w:t xml:space="preserve">név</w:t>
      </w:r>
      <w:r>
        <w:t xml:space="preserve">: …………………………………………………………………………………………………………………………………………………...</w:t>
      </w:r>
      <w:r/>
    </w:p>
    <w:p>
      <w:r>
        <w:t xml:space="preserve">szül</w:t>
      </w:r>
      <w:r>
        <w:t xml:space="preserve">. név: ……………………………………………………………………………………………………………………………………………</w:t>
      </w:r>
      <w:r/>
    </w:p>
    <w:p>
      <w:r>
        <w:t xml:space="preserve">anyja</w:t>
      </w:r>
      <w:r>
        <w:t xml:space="preserve"> neve: ………………………………………………………………………………………………………………………………………….</w:t>
      </w:r>
      <w:r/>
    </w:p>
    <w:p>
      <w:r>
        <w:t xml:space="preserve">születési</w:t>
      </w:r>
      <w:r>
        <w:t xml:space="preserve"> helye és ideje: ……………………………………………………………………………………………………………………….</w:t>
      </w:r>
      <w:r/>
    </w:p>
    <w:p>
      <w:r>
        <w:t xml:space="preserve">lakcíme</w:t>
      </w:r>
      <w:r>
        <w:t xml:space="preserve">: ………………………………………………………………………………………………………………………………………………</w:t>
      </w:r>
      <w:r/>
    </w:p>
    <w:p>
      <w:r>
        <w:t xml:space="preserve">Telefonszám, e-mail cím: …………………………………………………………………………………………………………………….</w:t>
      </w:r>
      <w:r/>
    </w:p>
    <w:p>
      <w:r/>
      <w:r/>
    </w:p>
    <w:p>
      <w:pPr>
        <w:pStyle w:val="654"/>
        <w:numPr>
          <w:ilvl w:val="0"/>
          <w:numId w:val="1"/>
        </w:numPr>
        <w:ind w:left="0" w:firstLine="0"/>
        <w:rPr>
          <w:b/>
        </w:rPr>
      </w:pPr>
      <w:r>
        <w:rPr>
          <w:b/>
        </w:rPr>
        <w:t xml:space="preserve">Kérelem</w:t>
      </w:r>
      <w:r/>
    </w:p>
    <w:p>
      <w:pPr>
        <w:pStyle w:val="654"/>
        <w:ind w:left="0"/>
        <w:jc w:val="both"/>
        <w:rPr>
          <w:rFonts w:cstheme="minorHAnsi"/>
          <w:b/>
        </w:rPr>
      </w:pPr>
      <w:r>
        <w:rPr>
          <w:rFonts w:cstheme="minorHAnsi"/>
          <w:b/>
        </w:rPr>
        <w:t xml:space="preserve">Kérem, hogy a lakossági fogyasztókra érvényes, </w:t>
      </w:r>
      <w:r>
        <w:rPr>
          <w:rFonts w:cstheme="minorHAnsi"/>
        </w:rPr>
        <w:t xml:space="preserve">az egyes egyetemes szolgáltatási árszabások meghatározásáról szóló 259/2022. (VII. 21.) Korm. rendelet alapján meghatározott </w:t>
      </w:r>
      <w:r>
        <w:rPr>
          <w:rFonts w:cstheme="minorHAnsi"/>
          <w:b/>
        </w:rPr>
        <w:t xml:space="preserve">kedvezményes földgáz többletmennyiség igénybevétele céljából a fenti ingatlanon található önálló lakás* rendeltetési egységek** számára vonatkozó hatósági bizonyítványt részemre kiállítani szíveskedjenek az alábbi nyilatkozatom alapján:</w:t>
      </w:r>
      <w:r/>
    </w:p>
    <w:p>
      <w:pPr>
        <w:pStyle w:val="654"/>
        <w:ind w:left="0"/>
        <w:rPr>
          <w:b/>
        </w:rPr>
      </w:pPr>
      <w:r>
        <w:rPr>
          <w:b/>
        </w:rPr>
      </w:r>
      <w:r/>
    </w:p>
    <w:p>
      <w:pPr>
        <w:pStyle w:val="654"/>
        <w:numPr>
          <w:ilvl w:val="0"/>
          <w:numId w:val="1"/>
        </w:numPr>
        <w:ind w:left="0" w:firstLine="0"/>
        <w:jc w:val="both"/>
        <w:spacing w:after="0" w:line="240" w:lineRule="auto"/>
        <w:rPr>
          <w:rFonts w:cstheme="minorHAnsi"/>
          <w:b/>
          <w:bCs/>
        </w:rPr>
      </w:pPr>
      <w:r>
        <w:rPr>
          <w:rFonts w:cstheme="minorHAnsi"/>
          <w:b/>
          <w:bCs/>
        </w:rPr>
        <w:t xml:space="preserve">Nyilatkozat</w:t>
      </w:r>
      <w:r/>
    </w:p>
    <w:p>
      <w:pPr>
        <w:pStyle w:val="654"/>
        <w:ind w:left="0"/>
        <w:jc w:val="both"/>
        <w:spacing w:after="0" w:line="240" w:lineRule="auto"/>
        <w:rPr>
          <w:rFonts w:cstheme="minorHAnsi"/>
          <w:b/>
          <w:bCs/>
        </w:rPr>
      </w:pPr>
      <w:r>
        <w:rPr>
          <w:rFonts w:cstheme="minorHAnsi"/>
          <w:b/>
          <w:bCs/>
        </w:rPr>
        <w:t xml:space="preserve">Büntetőjogi felelősségem tudatában nyilatkozom, hogy a kérelmezett ingatlan: </w:t>
      </w:r>
      <w:r/>
    </w:p>
    <w:p>
      <w:pPr>
        <w:pStyle w:val="654"/>
        <w:ind w:left="0"/>
        <w:jc w:val="both"/>
        <w:spacing w:after="0" w:line="240" w:lineRule="auto"/>
        <w:rPr>
          <w:rFonts w:cstheme="minorHAnsi"/>
        </w:rPr>
      </w:pPr>
      <w:r>
        <w:rPr>
          <w:rFonts w:cstheme="minorHAnsi"/>
          <w:b/>
        </w:rPr>
        <w:t xml:space="preserve">1.</w:t>
      </w:r>
      <w:r>
        <w:rPr>
          <w:rFonts w:cstheme="minorHAnsi"/>
        </w:rPr>
        <w:t xml:space="preserve"> a társasháznak, lakásszövetkezetnek nem minősül; </w:t>
      </w:r>
      <w:r/>
    </w:p>
    <w:p>
      <w:pPr>
        <w:pStyle w:val="654"/>
        <w:ind w:left="0"/>
        <w:jc w:val="both"/>
        <w:spacing w:after="0" w:line="240" w:lineRule="auto"/>
        <w:rPr>
          <w:rFonts w:cstheme="minorHAnsi"/>
        </w:rPr>
      </w:pPr>
      <w:r>
        <w:rPr>
          <w:rFonts w:cstheme="minorHAnsi"/>
          <w:b/>
        </w:rPr>
        <w:t xml:space="preserve">2.</w:t>
      </w:r>
      <w:r>
        <w:rPr>
          <w:rFonts w:cstheme="minorHAnsi"/>
        </w:rPr>
        <w:t xml:space="preserve"> a kérelmezett ingatlanon található lakások* száma</w:t>
      </w:r>
      <w:r>
        <w:rPr>
          <w:rFonts w:cstheme="minorHAnsi"/>
        </w:rPr>
        <w:t xml:space="preserve">: …</w:t>
      </w:r>
      <w:r>
        <w:rPr>
          <w:rFonts w:cstheme="minorHAnsi"/>
        </w:rPr>
        <w:t xml:space="preserve">……</w:t>
      </w:r>
      <w:r>
        <w:rPr>
          <w:rFonts w:cstheme="minorHAnsi"/>
        </w:rPr>
        <w:t xml:space="preserve">……………………………………………………………….</w:t>
      </w:r>
      <w:r>
        <w:rPr>
          <w:rFonts w:cstheme="minorHAnsi"/>
        </w:rPr>
        <w:t xml:space="preserve">;</w:t>
      </w:r>
      <w:r/>
    </w:p>
    <w:p>
      <w:pPr>
        <w:pStyle w:val="654"/>
        <w:ind w:left="0"/>
        <w:jc w:val="both"/>
        <w:spacing w:after="0" w:line="240" w:lineRule="auto"/>
        <w:rPr>
          <w:rFonts w:cstheme="minorHAnsi"/>
        </w:rPr>
      </w:pPr>
      <w:r>
        <w:rPr>
          <w:rFonts w:cstheme="minorHAnsi"/>
          <w:b/>
        </w:rPr>
        <w:t xml:space="preserve">3.</w:t>
      </w:r>
      <w:r>
        <w:rPr>
          <w:rFonts w:cstheme="minorHAnsi"/>
        </w:rPr>
        <w:t xml:space="preserve"> a 2. pontban meghatározott számú lakások mindegyike (önálló rendeltetési egység**</w:t>
      </w:r>
      <w:r>
        <w:rPr>
          <w:rFonts w:cstheme="minorHAnsi"/>
          <w:i/>
        </w:rPr>
        <w:t xml:space="preserve">)</w:t>
      </w:r>
      <w:r>
        <w:rPr>
          <w:rFonts w:cstheme="minorHAnsi"/>
        </w:rPr>
        <w:t xml:space="preserve"> megfelel az országos településrendezési és építési követelményekről szóló 253/1997. (XII. 20.) Korm. rendelet (OTÉK) 105.§</w:t>
      </w:r>
      <w:r>
        <w:rPr>
          <w:rFonts w:cstheme="minorHAnsi"/>
        </w:rPr>
        <w:t xml:space="preserve">-ban</w:t>
      </w:r>
      <w:r>
        <w:rPr>
          <w:rFonts w:cstheme="minorHAnsi"/>
        </w:rPr>
        <w:t xml:space="preserve"> foglalt lakás előírásoknak.</w:t>
      </w:r>
      <w:r/>
    </w:p>
    <w:p>
      <w:pPr>
        <w:pStyle w:val="654"/>
        <w:ind w:left="0"/>
        <w:jc w:val="both"/>
        <w:spacing w:after="0" w:line="240" w:lineRule="auto"/>
        <w:rPr>
          <w:rFonts w:cstheme="minorHAnsi"/>
        </w:rPr>
      </w:pPr>
      <w:r>
        <w:rPr>
          <w:rFonts w:cstheme="minorHAnsi"/>
          <w:b/>
        </w:rPr>
        <w:t xml:space="preserve">4.</w:t>
      </w:r>
      <w:r>
        <w:rPr>
          <w:rFonts w:cstheme="minorHAnsi"/>
        </w:rPr>
        <w:t xml:space="preserve"> Tudomással bírok arról, hogy az egyes egyetemes szolgáltatási árszabások meghatározásáról szóló 259/2022. (VII. 21.) Korm. rendelet 7/</w:t>
      </w:r>
      <w:r>
        <w:rPr>
          <w:rFonts w:cstheme="minorHAnsi"/>
        </w:rPr>
        <w:t xml:space="preserve">A</w:t>
      </w:r>
      <w:r>
        <w:rPr>
          <w:rFonts w:cstheme="minorHAnsi"/>
        </w:rPr>
        <w:t xml:space="preserve">. § (11) </w:t>
      </w:r>
      <w:r>
        <w:rPr>
          <w:rFonts w:cstheme="minorHAnsi"/>
        </w:rPr>
        <w:t xml:space="preserve">bek</w:t>
      </w:r>
      <w:r>
        <w:rPr>
          <w:rFonts w:cstheme="minorHAnsi"/>
        </w:rPr>
        <w:t xml:space="preserve">. szerint: amennyiben az egyetemes szolgáltató megállapítja, hogy ezen nyilatkozatom alapján kiállított hatósági bizonyítványban foglaltnál kisebb számú, ténylegesen kialakult </w:t>
      </w:r>
      <w:r>
        <w:rPr>
          <w:rFonts w:cstheme="minorHAnsi"/>
        </w:rPr>
        <w:t xml:space="preserve">lakás rendeltetési</w:t>
      </w:r>
      <w:r>
        <w:rPr>
          <w:rFonts w:cstheme="minorHAnsi"/>
        </w:rPr>
        <w:t xml:space="preserve"> egység található az ingatlanon belül, így jogosulatlanul vettem igénybe a meghatározott kedvezményes többletmennyiséget, akkor az a versenypiaci költségeket tükröző ár másfélszeresének megfelelő egységáron kerül elszámolásra.</w:t>
      </w:r>
      <w:r/>
    </w:p>
    <w:p>
      <w:pPr>
        <w:pStyle w:val="654"/>
        <w:ind w:left="0"/>
        <w:jc w:val="both"/>
        <w:spacing w:after="0" w:line="240" w:lineRule="auto"/>
        <w:rPr>
          <w:rFonts w:cstheme="minorHAnsi"/>
        </w:rPr>
      </w:pPr>
      <w:r>
        <w:rPr>
          <w:rFonts w:cstheme="minorHAnsi"/>
        </w:rPr>
      </w:r>
      <w:r/>
    </w:p>
    <w:p>
      <w:pPr>
        <w:pStyle w:val="654"/>
        <w:numPr>
          <w:ilvl w:val="0"/>
          <w:numId w:val="1"/>
        </w:numPr>
        <w:rPr>
          <w:b/>
        </w:rPr>
      </w:pPr>
      <w:r>
        <w:rPr>
          <w:b/>
        </w:rPr>
        <w:t xml:space="preserve">A hatósági bizonyítván megküldését az alábbi elérhetőségre </w:t>
      </w:r>
      <w:r>
        <w:rPr>
          <w:b/>
        </w:rPr>
        <w:t xml:space="preserve">kérem</w:t>
      </w:r>
      <w:r>
        <w:rPr>
          <w:rStyle w:val="655"/>
          <w:b/>
        </w:rPr>
        <w:footnoteReference w:id="2"/>
      </w:r>
      <w:r>
        <w:rPr>
          <w:b/>
        </w:rPr>
        <w:t xml:space="preserve">:</w:t>
      </w:r>
      <w:r/>
    </w:p>
    <w:p>
      <w:pPr>
        <w:pStyle w:val="654"/>
        <w:ind w:left="1080"/>
      </w:pPr>
      <w:r/>
      <w:r/>
    </w:p>
    <w:p>
      <w:pPr>
        <w:pStyle w:val="654"/>
        <w:numPr>
          <w:ilvl w:val="0"/>
          <w:numId w:val="2"/>
        </w:numPr>
        <w:ind w:left="0" w:firstLine="0"/>
      </w:pPr>
      <w:r>
        <w:t xml:space="preserve">lakcím:</w:t>
      </w:r>
      <w:r/>
    </w:p>
    <w:p>
      <w:pPr>
        <w:pStyle w:val="654"/>
        <w:numPr>
          <w:ilvl w:val="0"/>
          <w:numId w:val="2"/>
        </w:numPr>
        <w:ind w:left="0" w:firstLine="0"/>
      </w:pPr>
      <w:r>
        <w:t xml:space="preserve">e-mail:</w:t>
      </w:r>
      <w:r/>
    </w:p>
    <w:p>
      <w:pPr>
        <w:pStyle w:val="654"/>
        <w:numPr>
          <w:ilvl w:val="0"/>
          <w:numId w:val="2"/>
        </w:numPr>
        <w:ind w:left="0" w:firstLine="0"/>
      </w:pPr>
      <w:r>
        <w:t xml:space="preserve">ügyfélkapu:</w:t>
      </w:r>
      <w:r/>
    </w:p>
    <w:p>
      <w:pPr>
        <w:pStyle w:val="654"/>
        <w:numPr>
          <w:ilvl w:val="0"/>
          <w:numId w:val="2"/>
        </w:numPr>
        <w:ind w:left="0" w:firstLine="0"/>
      </w:pPr>
      <w:r>
        <w:t xml:space="preserve">személyes átvétel telefonos időpont egyeztetést követően</w:t>
      </w:r>
      <w:r/>
    </w:p>
    <w:p>
      <w:pPr>
        <w:pStyle w:val="654"/>
        <w:ind w:left="0" w:firstLine="708"/>
        <w:jc w:val="both"/>
        <w:spacing w:after="0" w:line="240" w:lineRule="auto"/>
        <w:rPr>
          <w:rFonts w:cstheme="minorHAnsi"/>
        </w:rPr>
      </w:pPr>
      <w:r>
        <w:t xml:space="preserve">(telefonszám:............................................)</w:t>
      </w:r>
      <w:r/>
    </w:p>
    <w:p>
      <w:pPr>
        <w:pStyle w:val="654"/>
        <w:ind w:left="0"/>
        <w:jc w:val="both"/>
        <w:spacing w:after="0" w:line="240" w:lineRule="auto"/>
        <w:rPr>
          <w:rFonts w:cstheme="minorHAnsi"/>
        </w:rPr>
      </w:pPr>
      <w:r>
        <w:rPr>
          <w:rFonts w:cstheme="minorHAnsi"/>
        </w:rPr>
      </w:r>
      <w:r/>
    </w:p>
    <w:p>
      <w:pPr>
        <w:pStyle w:val="654"/>
        <w:ind w:left="0"/>
        <w:rPr>
          <w:rFonts w:cstheme="minorHAnsi"/>
        </w:rPr>
      </w:pPr>
      <w:r>
        <w:rPr>
          <w:rFonts w:cstheme="minorHAnsi"/>
        </w:rPr>
        <w:t xml:space="preserve">M o n o r</w:t>
      </w:r>
      <w:r>
        <w:rPr>
          <w:rFonts w:cstheme="minorHAnsi"/>
        </w:rPr>
        <w:t xml:space="preserve">, …</w:t>
      </w:r>
      <w:r>
        <w:rPr>
          <w:rFonts w:cstheme="minorHAnsi"/>
        </w:rPr>
        <w:t xml:space="preserve">…………..........................</w:t>
      </w:r>
      <w:r/>
    </w:p>
    <w:p>
      <w:pPr>
        <w:pStyle w:val="654"/>
        <w:ind w:left="0"/>
        <w:rPr>
          <w:rFonts w:cstheme="minorHAnsi"/>
        </w:rPr>
      </w:pPr>
      <w:r>
        <w:rPr>
          <w:rFonts w:cstheme="minorHAnsi"/>
        </w:rPr>
      </w:r>
      <w:r/>
    </w:p>
    <w:p>
      <w:pPr>
        <w:pStyle w:val="654"/>
        <w:ind w:left="0"/>
        <w:jc w:val="right"/>
        <w:rPr>
          <w:rFonts w:cstheme="minorHAnsi"/>
        </w:rPr>
      </w:pPr>
      <w:r>
        <w:rPr>
          <w:rFonts w:cstheme="minorHAnsi"/>
        </w:rPr>
        <w:tab/>
      </w:r>
      <w:r>
        <w:rPr>
          <w:rFonts w:cstheme="minorHAnsi"/>
        </w:rPr>
        <w:tab/>
      </w:r>
      <w:r>
        <w:rPr>
          <w:rFonts w:cstheme="minorHAnsi"/>
        </w:rPr>
        <w:tab/>
      </w:r>
      <w:r>
        <w:rPr>
          <w:rFonts w:cstheme="minorHAnsi"/>
        </w:rPr>
        <w:tab/>
        <w:t xml:space="preserve">Kérelmező </w:t>
      </w:r>
      <w:r>
        <w:rPr>
          <w:rFonts w:cstheme="minorHAnsi"/>
        </w:rPr>
        <w:t xml:space="preserve">a</w:t>
      </w:r>
      <w:r>
        <w:rPr>
          <w:rFonts w:cstheme="minorHAnsi"/>
        </w:rPr>
        <w:t xml:space="preserve">láírás</w:t>
      </w:r>
      <w:r>
        <w:rPr>
          <w:rFonts w:cstheme="minorHAnsi"/>
        </w:rPr>
        <w:t xml:space="preserve">a</w:t>
      </w:r>
      <w:r>
        <w:rPr>
          <w:rFonts w:cstheme="minorHAnsi"/>
        </w:rPr>
        <w:t xml:space="preserve"> …</w:t>
      </w:r>
      <w:r>
        <w:rPr>
          <w:rFonts w:cstheme="minorHAnsi"/>
        </w:rPr>
        <w:t xml:space="preserve">………………………………..…………………………………..</w:t>
      </w:r>
      <w:r/>
    </w:p>
    <w:p>
      <w:pPr>
        <w:pStyle w:val="654"/>
        <w:ind w:left="0"/>
        <w:jc w:val="right"/>
        <w:rPr>
          <w:rFonts w:cstheme="minorHAnsi"/>
        </w:rPr>
      </w:pPr>
      <w:r>
        <w:rPr>
          <w:rFonts w:cstheme="minorHAnsi"/>
        </w:rPr>
      </w:r>
      <w:r/>
    </w:p>
    <w:p>
      <w:pPr>
        <w:pStyle w:val="654"/>
        <w:ind w:left="0"/>
        <w:jc w:val="right"/>
        <w:rPr>
          <w:rFonts w:cstheme="minorHAnsi"/>
        </w:rPr>
      </w:pPr>
      <w:r>
        <w:rPr>
          <w:rFonts w:cstheme="minorHAnsi"/>
        </w:rPr>
        <w:t xml:space="preserve">Név (olvashatóan</w:t>
      </w:r>
      <w:r>
        <w:rPr>
          <w:rFonts w:cstheme="minorHAnsi"/>
        </w:rPr>
        <w:t xml:space="preserve">) …</w:t>
      </w:r>
      <w:r>
        <w:rPr>
          <w:rFonts w:cstheme="minorHAnsi"/>
        </w:rPr>
        <w:t xml:space="preserve">………………………………..…………………………………..</w:t>
      </w:r>
      <w:r/>
    </w:p>
    <w:p>
      <w:pPr>
        <w:rPr>
          <w:b/>
        </w:rPr>
      </w:pPr>
      <w:r>
        <w:rPr>
          <w:b/>
        </w:rPr>
      </w:r>
      <w:r>
        <w:rPr>
          <w:b/>
        </w:rPr>
      </w:r>
    </w:p>
    <w:p>
      <w:pPr>
        <w:jc w:val="center"/>
        <w:rPr>
          <w:b/>
        </w:rPr>
      </w:pPr>
      <w:r>
        <w:rPr>
          <w:b/>
        </w:rPr>
        <w:t xml:space="preserve">FIGYELEM!</w:t>
      </w:r>
      <w:r>
        <w:rPr>
          <w:b/>
        </w:rPr>
      </w:r>
    </w:p>
    <w:p>
      <w:pPr>
        <w:jc w:val="both"/>
        <w:rPr>
          <w:b/>
          <w:highlight w:val="none"/>
        </w:rPr>
      </w:pPr>
      <w:r>
        <w:rPr>
          <w:b/>
        </w:rPr>
        <w:t xml:space="preserve">A kérelemhez csatolni kell az épület (építész tervező által, vagy saját kezűleg készített, a tényleges állapotot ábrázoló) alaprajzát, amelyen szerepelnie kell az egyes helyiségek elnevezésének (funkció) és alapterületének, valamint az egyes helyiségek, helyiségcsoportok kapcsolatának (bejárati, illetve belső ajtók), amelyből látható, hogy az épület hány önálló, a lenti előírásoknak megfelelő rendeltetési egységet tartalmaz. </w:t>
      </w:r>
      <w:r/>
    </w:p>
    <w:p>
      <w:pPr>
        <w:jc w:val="center"/>
        <w:rPr>
          <w:b/>
        </w:rPr>
      </w:pPr>
      <w:r>
        <w:rPr>
          <w:b/>
          <w:highlight w:val="none"/>
        </w:rPr>
        <w:t xml:space="preserve">*</w:t>
      </w:r>
      <w:r>
        <w:rPr>
          <w:b/>
          <w:highlight w:val="none"/>
        </w:rPr>
      </w:r>
    </w:p>
    <w:p>
      <w:pPr>
        <w:jc w:val="both"/>
        <w:spacing w:after="0" w:line="240" w:lineRule="auto"/>
        <w:rPr>
          <w:rFonts w:ascii="Calibri" w:hAnsi="Calibri" w:cs="Calibri"/>
          <w:i/>
        </w:rPr>
      </w:pPr>
      <w:r>
        <w:rPr>
          <w:rFonts w:ascii="Calibri" w:hAnsi="Calibri" w:cs="Calibri"/>
          <w:i/>
        </w:rPr>
        <w:t xml:space="preserve">*Az OTÉK 105. § (1) A </w:t>
      </w:r>
      <w:r>
        <w:rPr>
          <w:rFonts w:ascii="Calibri" w:hAnsi="Calibri" w:cs="Calibri"/>
          <w:b/>
          <w:i/>
        </w:rPr>
        <w:t xml:space="preserve">lakás</w:t>
      </w:r>
      <w:r>
        <w:rPr>
          <w:rFonts w:ascii="Calibri" w:hAnsi="Calibri" w:cs="Calibri"/>
          <w:i/>
        </w:rPr>
        <w:t xml:space="preserve"> olyan huzamos tartózkodás céljára szolgáló önálló rendeltetési egység, melynek lakóhelyiségeit (lakószoba, étkező stb.), főzőhelyiségeit (konyha, főzőfülke), egészségügyi hely</w:t>
      </w:r>
      <w:r>
        <w:rPr>
          <w:rFonts w:ascii="Calibri" w:hAnsi="Calibri" w:cs="Calibri"/>
          <w:i/>
        </w:rPr>
        <w:t xml:space="preserve">iségeit (fürdőszoba, mosdó, zuhanyozó, WC), közlekedő helyiségeit (előszoba, előtér, belépő, szélfogó, közlekedő, folyosó) és tároló helyiségeit (kamra, gardrób, lomkamra, háztartási helyiség stb.) úgy kell kialakítani, hogy azok együttesen tegyék lehetővé</w:t>
      </w:r>
      <w:r/>
    </w:p>
    <w:p>
      <w:pPr>
        <w:ind w:left="284"/>
        <w:jc w:val="both"/>
        <w:spacing w:after="0" w:line="240" w:lineRule="auto"/>
        <w:rPr>
          <w:rFonts w:ascii="Calibri" w:hAnsi="Calibri" w:cs="Calibri"/>
          <w:i/>
        </w:rPr>
      </w:pPr>
      <w:r>
        <w:rPr>
          <w:rFonts w:ascii="Calibri" w:hAnsi="Calibri" w:cs="Calibri"/>
          <w:i/>
        </w:rPr>
        <w:t xml:space="preserve">a</w:t>
      </w:r>
      <w:r>
        <w:rPr>
          <w:rFonts w:ascii="Calibri" w:hAnsi="Calibri" w:cs="Calibri"/>
          <w:i/>
        </w:rPr>
        <w:t xml:space="preserve">) a pihenést (az alvást) és az otthoni tevékenységek folytatását,</w:t>
      </w:r>
      <w:r/>
    </w:p>
    <w:p>
      <w:pPr>
        <w:ind w:left="284"/>
        <w:jc w:val="both"/>
        <w:spacing w:after="0" w:line="240" w:lineRule="auto"/>
        <w:rPr>
          <w:rFonts w:ascii="Calibri" w:hAnsi="Calibri" w:cs="Calibri"/>
          <w:i/>
        </w:rPr>
      </w:pPr>
      <w:r>
        <w:rPr>
          <w:rFonts w:ascii="Calibri" w:hAnsi="Calibri" w:cs="Calibri"/>
          <w:i/>
        </w:rPr>
        <w:t xml:space="preserve">b) a főzést, mosogatást és az étkezést,</w:t>
      </w:r>
      <w:r/>
    </w:p>
    <w:p>
      <w:pPr>
        <w:ind w:left="284"/>
        <w:jc w:val="both"/>
        <w:spacing w:after="0" w:line="240" w:lineRule="auto"/>
        <w:rPr>
          <w:rFonts w:ascii="Calibri" w:hAnsi="Calibri" w:cs="Calibri"/>
          <w:i/>
        </w:rPr>
      </w:pPr>
      <w:r>
        <w:rPr>
          <w:rFonts w:ascii="Calibri" w:hAnsi="Calibri" w:cs="Calibri"/>
          <w:i/>
        </w:rPr>
        <w:t xml:space="preserve">c) a tisztálkodást, a mosást, az illemhely-használatot,</w:t>
      </w:r>
      <w:r/>
    </w:p>
    <w:p>
      <w:pPr>
        <w:ind w:left="284"/>
        <w:jc w:val="both"/>
        <w:spacing w:after="0" w:line="240" w:lineRule="auto"/>
        <w:rPr>
          <w:rFonts w:ascii="Calibri" w:hAnsi="Calibri" w:cs="Calibri"/>
          <w:i/>
        </w:rPr>
      </w:pPr>
      <w:r>
        <w:rPr>
          <w:rFonts w:ascii="Calibri" w:hAnsi="Calibri" w:cs="Calibri"/>
          <w:i/>
        </w:rPr>
        <w:t xml:space="preserve">d) az életvitelhez szükséges anyagok és tárgyak tárolását tervezési program szerint (pl. </w:t>
      </w:r>
      <w:r/>
    </w:p>
    <w:p>
      <w:pPr>
        <w:ind w:left="567"/>
        <w:jc w:val="both"/>
        <w:spacing w:after="0" w:line="240" w:lineRule="auto"/>
        <w:rPr>
          <w:rFonts w:ascii="Calibri" w:hAnsi="Calibri" w:cs="Calibri"/>
          <w:i/>
        </w:rPr>
      </w:pPr>
      <w:r>
        <w:rPr>
          <w:rFonts w:ascii="Calibri" w:hAnsi="Calibri" w:cs="Calibri"/>
          <w:i/>
        </w:rPr>
        <w:t xml:space="preserve">élelmiszer-tárolás</w:t>
      </w:r>
      <w:r>
        <w:rPr>
          <w:rFonts w:ascii="Calibri" w:hAnsi="Calibri" w:cs="Calibri"/>
          <w:i/>
        </w:rPr>
        <w:t xml:space="preserve">, hűtőszekrény elhelyezési lehetősége, mosás céljára szolgáló berendezés, </w:t>
      </w:r>
      <w:r/>
    </w:p>
    <w:p>
      <w:pPr>
        <w:ind w:left="567"/>
        <w:jc w:val="both"/>
        <w:spacing w:after="0" w:line="240" w:lineRule="auto"/>
        <w:rPr>
          <w:rFonts w:ascii="Calibri" w:hAnsi="Calibri" w:cs="Calibri"/>
          <w:i/>
        </w:rPr>
      </w:pPr>
      <w:r>
        <w:rPr>
          <w:rFonts w:ascii="Calibri" w:hAnsi="Calibri" w:cs="Calibri"/>
          <w:i/>
        </w:rPr>
        <w:t xml:space="preserve">ruhanemű</w:t>
      </w:r>
      <w:r>
        <w:rPr>
          <w:rFonts w:ascii="Calibri" w:hAnsi="Calibri" w:cs="Calibri"/>
          <w:i/>
        </w:rPr>
        <w:t xml:space="preserve">, lakáskarbantartás eszközeinek, egyéb szerszámoknak és sporteszközöknek az elhelyezése)</w:t>
      </w:r>
      <w:r/>
    </w:p>
    <w:p>
      <w:pPr>
        <w:jc w:val="both"/>
        <w:spacing w:after="0" w:line="240" w:lineRule="auto"/>
        <w:rPr>
          <w:rFonts w:ascii="Calibri" w:hAnsi="Calibri" w:cs="Calibri"/>
          <w:i/>
        </w:rPr>
      </w:pPr>
      <w:r>
        <w:rPr>
          <w:rFonts w:ascii="Calibri" w:hAnsi="Calibri" w:cs="Calibri"/>
          <w:i/>
        </w:rPr>
        <w:t xml:space="preserve">(2) A lakószoba a lakás minden olyan közvetlen természetes megvilágítású és szellőzésű, fűthető, huzamos tartóz</w:t>
      </w:r>
      <w:r>
        <w:rPr>
          <w:rFonts w:ascii="Calibri" w:hAnsi="Calibri" w:cs="Calibri"/>
          <w:i/>
        </w:rPr>
        <w:t xml:space="preserve">kodás céljára szolgáló, legalább 8 m2 hasznos alapterületű helyisége, amely lehetővé teszi az (1) bekezdés a) pontja szerinti tevékenységek folytatását - kivéve a jövedelemszerzést szolgáló munkavégzést - és az azokhoz kapcsolódó berendezések elhelyezését.</w:t>
      </w:r>
      <w:r/>
    </w:p>
    <w:p>
      <w:pPr>
        <w:jc w:val="both"/>
        <w:spacing w:after="0" w:line="240" w:lineRule="auto"/>
        <w:rPr>
          <w:rFonts w:ascii="Calibri" w:hAnsi="Calibri" w:cs="Calibri"/>
          <w:i/>
        </w:rPr>
      </w:pPr>
      <w:r>
        <w:rPr>
          <w:rFonts w:ascii="Calibri" w:hAnsi="Calibri" w:cs="Calibri"/>
          <w:i/>
        </w:rPr>
        <w:t xml:space="preserve">(3) A 30 m2-t meghaladó hasznos alapterületű lakás legalább egy lakószobája hasznos ala</w:t>
      </w:r>
      <w:r>
        <w:rPr>
          <w:rFonts w:ascii="Calibri" w:hAnsi="Calibri" w:cs="Calibri"/>
          <w:i/>
        </w:rPr>
        <w:t xml:space="preserve">pterületének legalább 16 m2-nek kell lennie. Ebbe és a lakószoba (2) bekezdés szerinti alapterületébe nem számítható be a főző és az étkező funkció céljára is szolgáló helyiség, helyiségrész hasznos alapterülete, amennyiben az a lakószoba légterével közös.</w:t>
      </w:r>
      <w:r/>
    </w:p>
    <w:p>
      <w:pPr>
        <w:spacing w:after="0" w:line="240" w:lineRule="auto"/>
        <w:rPr>
          <w:rFonts w:ascii="Calibri" w:hAnsi="Calibri" w:cs="Calibri"/>
          <w:i/>
          <w:highlight w:val="none"/>
        </w:rPr>
      </w:pPr>
      <w:r>
        <w:rPr>
          <w:rFonts w:ascii="Calibri" w:hAnsi="Calibri" w:cs="Calibri"/>
          <w:i/>
        </w:rPr>
        <w:t xml:space="preserve">(4) A lakásnak fűthetőnek kell lennie, lehetőleg minden helyiségben a rendeltetésének megfelelő szellőzést, természetes megvilágítást biztosítani kell.</w:t>
      </w:r>
      <w:r/>
    </w:p>
    <w:p>
      <w:pPr>
        <w:spacing w:after="0" w:line="240" w:lineRule="auto"/>
        <w:rPr>
          <w:rFonts w:ascii="Calibri" w:hAnsi="Calibri" w:cs="Calibri"/>
          <w:i/>
        </w:rPr>
      </w:pPr>
      <w:r>
        <w:rPr>
          <w:rFonts w:ascii="Calibri" w:hAnsi="Calibri" w:cs="Calibri"/>
          <w:i/>
          <w:highlight w:val="none"/>
        </w:rPr>
      </w:r>
      <w:r>
        <w:rPr>
          <w:rFonts w:ascii="Calibri" w:hAnsi="Calibri" w:cs="Calibri"/>
          <w:i/>
          <w:highlight w:val="none"/>
        </w:rPr>
      </w:r>
    </w:p>
    <w:p>
      <w:pPr>
        <w:spacing w:after="0" w:line="240" w:lineRule="auto"/>
        <w:rPr>
          <w:rFonts w:ascii="Calibri" w:hAnsi="Calibri" w:cs="Calibri"/>
          <w:i/>
          <w:highlight w:val="none"/>
        </w:rPr>
      </w:pPr>
      <w:r>
        <w:rPr>
          <w:rFonts w:ascii="Calibri" w:hAnsi="Calibri" w:cs="Calibri"/>
          <w:i/>
        </w:rPr>
        <w:t xml:space="preserve">OTÉK </w:t>
      </w:r>
      <w:r>
        <w:rPr>
          <w:rFonts w:ascii="Calibri" w:hAnsi="Calibri" w:cs="Calibri"/>
          <w:i/>
        </w:rPr>
        <w:t xml:space="preserve">1. melléklet: </w:t>
      </w:r>
      <w:r>
        <w:rPr>
          <w:rFonts w:ascii="Calibri" w:hAnsi="Calibri" w:cs="Calibri"/>
          <w:i/>
        </w:rPr>
        <w:t xml:space="preserve">Fogalom-meghatározások</w:t>
      </w:r>
      <w:r>
        <w:rPr>
          <w:rFonts w:ascii="Calibri" w:hAnsi="Calibri" w:cs="Calibri"/>
          <w:i/>
        </w:rPr>
        <w:t xml:space="preserve">:</w:t>
      </w:r>
      <w:r/>
    </w:p>
    <w:p>
      <w:pPr>
        <w:spacing w:after="0" w:line="240" w:lineRule="auto"/>
        <w:rPr>
          <w:rFonts w:ascii="Calibri" w:hAnsi="Calibri" w:cs="Calibri"/>
          <w:i/>
        </w:rPr>
      </w:pPr>
      <w:r>
        <w:rPr>
          <w:rFonts w:ascii="Calibri" w:hAnsi="Calibri" w:cs="Calibri"/>
          <w:i/>
          <w:highlight w:val="none"/>
        </w:rPr>
      </w:r>
      <w:r>
        <w:rPr>
          <w:rFonts w:ascii="Calibri" w:hAnsi="Calibri" w:cs="Calibri"/>
          <w:i/>
          <w:highlight w:val="none"/>
        </w:rPr>
      </w:r>
    </w:p>
    <w:p>
      <w:pPr>
        <w:spacing w:after="0" w:line="240" w:lineRule="auto"/>
        <w:rPr>
          <w:rFonts w:ascii="Calibri" w:hAnsi="Calibri" w:cs="Calibri"/>
          <w:i/>
        </w:rPr>
      </w:pPr>
      <w:r>
        <w:rPr>
          <w:rFonts w:ascii="Calibri" w:hAnsi="Calibri" w:cs="Calibri"/>
          <w:i/>
        </w:rPr>
        <w:t xml:space="preserve">** 95. </w:t>
      </w:r>
      <w:r>
        <w:rPr>
          <w:rFonts w:ascii="Calibri" w:hAnsi="Calibri" w:cs="Calibri"/>
          <w:b/>
          <w:i/>
        </w:rPr>
        <w:t xml:space="preserve">Önálló rendeltetési egység</w:t>
      </w:r>
      <w:r>
        <w:rPr>
          <w:rFonts w:ascii="Calibri" w:hAnsi="Calibri" w:cs="Calibri"/>
          <w:i/>
        </w:rPr>
        <w:t xml:space="preserve">: meghatározott rendeltetés céljára önmagában alkalmas helyiség vagy helyiségcsoport, amelynek a szabadból vagy az épületen belüli közös közlekedőből nyíló önálló bejárata van.</w:t>
      </w:r>
      <w:r/>
    </w:p>
    <w:p>
      <w:pPr>
        <w:pStyle w:val="652"/>
        <w:jc w:val="both"/>
      </w:pPr>
      <w:r/>
      <w:r/>
    </w:p>
    <w:p>
      <w:pPr>
        <w:pStyle w:val="652"/>
        <w:jc w:val="both"/>
      </w:pPr>
      <w:r/>
      <w:r/>
    </w:p>
    <w:p>
      <w:pPr>
        <w:pStyle w:val="652"/>
        <w:jc w:val="center"/>
      </w:pPr>
      <w:r>
        <w:t xml:space="preserve">*</w:t>
      </w:r>
      <w:r/>
    </w:p>
    <w:p>
      <w:pPr>
        <w:pStyle w:val="652"/>
        <w:jc w:val="both"/>
      </w:pPr>
      <w:r/>
      <w:r/>
    </w:p>
    <w:p>
      <w:pPr>
        <w:pStyle w:val="652"/>
        <w:jc w:val="both"/>
      </w:pPr>
      <w:r/>
      <w:r/>
    </w:p>
    <w:p>
      <w:pPr>
        <w:pStyle w:val="652"/>
        <w:jc w:val="both"/>
        <w:rPr>
          <w:sz w:val="22"/>
        </w:rPr>
      </w:pPr>
      <w:r>
        <w:rPr>
          <w:sz w:val="22"/>
        </w:rPr>
        <w:t xml:space="preserve">Ügyfelek adatainak felvétele AZ EURÓPAI PARLAMENT </w:t>
      </w:r>
      <w:r>
        <w:rPr>
          <w:sz w:val="22"/>
        </w:rPr>
        <w:t xml:space="preserve">ÉS</w:t>
      </w:r>
      <w:r>
        <w:rPr>
          <w:sz w:val="22"/>
        </w:rPr>
        <w:t xml:space="preserve"> A TANÁCS a természetes személyeknek a személyes adatok kezelése tekintetében történő védelméről és az</w:t>
      </w:r>
      <w:r>
        <w:rPr>
          <w:sz w:val="22"/>
        </w:rPr>
        <w:t xml:space="preserve"> ilyen adatok szabad áramlásáról, valamint a 95/46/EK rendelet hatályon kívül helyezéséről (általános adatvédelmi rendelet) szóló 2016=679 sz. rendeletében (GDPR) továbbá az információs jogról és az információszabadságról szóló 2011. évi CXII. törvényben (</w:t>
      </w:r>
      <w:r>
        <w:rPr>
          <w:sz w:val="22"/>
        </w:rPr>
        <w:t xml:space="preserve">Infotv</w:t>
      </w:r>
      <w:r>
        <w:rPr>
          <w:sz w:val="22"/>
        </w:rPr>
        <w:t xml:space="preserve">.) foglaltakra figyelemmel történt. </w:t>
      </w:r>
      <w:r>
        <w:rPr>
          <w:sz w:val="22"/>
        </w:rPr>
      </w:r>
    </w:p>
    <w:p>
      <w:pPr>
        <w:pStyle w:val="652"/>
        <w:jc w:val="both"/>
        <w:rPr>
          <w:sz w:val="22"/>
        </w:rPr>
      </w:pPr>
      <w:r>
        <w:rPr>
          <w:sz w:val="22"/>
        </w:rPr>
      </w:r>
      <w:r>
        <w:rPr>
          <w:sz w:val="22"/>
        </w:rPr>
      </w:r>
    </w:p>
    <w:p>
      <w:pPr>
        <w:jc w:val="both"/>
        <w:rPr>
          <w:sz w:val="22"/>
          <w:szCs w:val="20"/>
        </w:rPr>
      </w:pPr>
      <w:r>
        <w:rPr>
          <w:sz w:val="22"/>
          <w:szCs w:val="20"/>
        </w:rPr>
        <w:t xml:space="preserve">Az adatkezelő az Monori Polgármesteri Hivatal, képviselője dr. Urbán </w:t>
      </w:r>
      <w:r>
        <w:rPr>
          <w:sz w:val="22"/>
          <w:szCs w:val="20"/>
        </w:rPr>
        <w:t xml:space="preserve">Hajnalka jegyző</w:t>
      </w:r>
      <w:r>
        <w:rPr>
          <w:sz w:val="22"/>
          <w:szCs w:val="20"/>
        </w:rPr>
        <w:t xml:space="preserve">, honlapja </w:t>
      </w:r>
      <w:hyperlink r:id="rId9" w:tooltip="http://www.monor.hu" w:history="1">
        <w:r>
          <w:rPr>
            <w:rStyle w:val="651"/>
            <w:sz w:val="22"/>
            <w:szCs w:val="20"/>
          </w:rPr>
          <w:t xml:space="preserve">www.monor.hu</w:t>
        </w:r>
      </w:hyperlink>
      <w:r>
        <w:rPr>
          <w:sz w:val="22"/>
          <w:szCs w:val="20"/>
        </w:rPr>
        <w:t xml:space="preserve">,  az adatkezelés célja jogszabálynak való megfelelés, az adatkezelés jogala</w:t>
      </w:r>
      <w:r>
        <w:rPr>
          <w:sz w:val="22"/>
          <w:szCs w:val="20"/>
        </w:rPr>
        <w:t xml:space="preserve">pja az ügyfél hozzájárulása, a személyes adatok címzettjei az adatvédelmi tisztviselő, hatósági ügyintéző , a személyes adatok tárolásának időtartama jogszabály szerinti. Az adatszolgáltatás önkéntes. Az ügyfélnek joga van kérelmezni az adatkezelőtől az üg</w:t>
      </w:r>
      <w:r>
        <w:rPr>
          <w:sz w:val="22"/>
          <w:szCs w:val="20"/>
        </w:rPr>
        <w:t xml:space="preserve">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w:t>
      </w:r>
      <w:r>
        <w:rPr>
          <w:sz w:val="22"/>
          <w:szCs w:val="20"/>
        </w:rPr>
        <w:t xml:space="preserve">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w:t>
      </w:r>
      <w:r>
        <w:rPr>
          <w:sz w:val="22"/>
        </w:rPr>
      </w:r>
    </w:p>
    <w:sectPr>
      <w:footnotePr/>
      <w:endnotePr/>
      <w:type w:val="nextPage"/>
      <w:pgSz w:w="11906" w:h="16838" w:orient="portrait"/>
      <w:pgMar w:top="1417" w:right="1417" w:bottom="1417"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Arial">
    <w:panose1 w:val="020B060402020202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 w:id="2">
    <w:p>
      <w:pPr>
        <w:pStyle w:val="652"/>
      </w:pP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upperRoman"/>
      <w:isLgl w:val="false"/>
      <w:suff w:val="tab"/>
      <w:lvlText w:val="%1."/>
      <w:lvlJc w:val="left"/>
      <w:pPr>
        <w:ind w:left="720" w:hanging="72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hu-HU"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47"/>
    <w:next w:val="647"/>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648"/>
    <w:link w:val="11"/>
    <w:uiPriority w:val="9"/>
    <w:rPr>
      <w:rFonts w:ascii="Arial" w:hAnsi="Arial" w:cs="Arial" w:eastAsia="Arial"/>
      <w:sz w:val="40"/>
      <w:szCs w:val="40"/>
    </w:rPr>
  </w:style>
  <w:style w:type="paragraph" w:styleId="13">
    <w:name w:val="Heading 2"/>
    <w:basedOn w:val="647"/>
    <w:next w:val="647"/>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648"/>
    <w:link w:val="13"/>
    <w:uiPriority w:val="9"/>
    <w:rPr>
      <w:rFonts w:ascii="Arial" w:hAnsi="Arial" w:cs="Arial" w:eastAsia="Arial"/>
      <w:sz w:val="34"/>
    </w:rPr>
  </w:style>
  <w:style w:type="paragraph" w:styleId="15">
    <w:name w:val="Heading 3"/>
    <w:basedOn w:val="647"/>
    <w:next w:val="647"/>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648"/>
    <w:link w:val="15"/>
    <w:uiPriority w:val="9"/>
    <w:rPr>
      <w:rFonts w:ascii="Arial" w:hAnsi="Arial" w:cs="Arial" w:eastAsia="Arial"/>
      <w:sz w:val="30"/>
      <w:szCs w:val="30"/>
    </w:rPr>
  </w:style>
  <w:style w:type="paragraph" w:styleId="17">
    <w:name w:val="Heading 4"/>
    <w:basedOn w:val="647"/>
    <w:next w:val="647"/>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648"/>
    <w:link w:val="17"/>
    <w:uiPriority w:val="9"/>
    <w:rPr>
      <w:rFonts w:ascii="Arial" w:hAnsi="Arial" w:cs="Arial" w:eastAsia="Arial"/>
      <w:b/>
      <w:bCs/>
      <w:sz w:val="26"/>
      <w:szCs w:val="26"/>
    </w:rPr>
  </w:style>
  <w:style w:type="paragraph" w:styleId="19">
    <w:name w:val="Heading 5"/>
    <w:basedOn w:val="647"/>
    <w:next w:val="647"/>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648"/>
    <w:link w:val="19"/>
    <w:uiPriority w:val="9"/>
    <w:rPr>
      <w:rFonts w:ascii="Arial" w:hAnsi="Arial" w:cs="Arial" w:eastAsia="Arial"/>
      <w:b/>
      <w:bCs/>
      <w:sz w:val="24"/>
      <w:szCs w:val="24"/>
    </w:rPr>
  </w:style>
  <w:style w:type="paragraph" w:styleId="21">
    <w:name w:val="Heading 6"/>
    <w:basedOn w:val="647"/>
    <w:next w:val="647"/>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648"/>
    <w:link w:val="21"/>
    <w:uiPriority w:val="9"/>
    <w:rPr>
      <w:rFonts w:ascii="Arial" w:hAnsi="Arial" w:cs="Arial" w:eastAsia="Arial"/>
      <w:b/>
      <w:bCs/>
      <w:sz w:val="22"/>
      <w:szCs w:val="22"/>
    </w:rPr>
  </w:style>
  <w:style w:type="paragraph" w:styleId="23">
    <w:name w:val="Heading 7"/>
    <w:basedOn w:val="647"/>
    <w:next w:val="647"/>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648"/>
    <w:link w:val="23"/>
    <w:uiPriority w:val="9"/>
    <w:rPr>
      <w:rFonts w:ascii="Arial" w:hAnsi="Arial" w:cs="Arial" w:eastAsia="Arial"/>
      <w:b/>
      <w:bCs/>
      <w:i/>
      <w:iCs/>
      <w:sz w:val="22"/>
      <w:szCs w:val="22"/>
    </w:rPr>
  </w:style>
  <w:style w:type="paragraph" w:styleId="25">
    <w:name w:val="Heading 8"/>
    <w:basedOn w:val="647"/>
    <w:next w:val="647"/>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648"/>
    <w:link w:val="25"/>
    <w:uiPriority w:val="9"/>
    <w:rPr>
      <w:rFonts w:ascii="Arial" w:hAnsi="Arial" w:cs="Arial" w:eastAsia="Arial"/>
      <w:i/>
      <w:iCs/>
      <w:sz w:val="22"/>
      <w:szCs w:val="22"/>
    </w:rPr>
  </w:style>
  <w:style w:type="paragraph" w:styleId="27">
    <w:name w:val="Heading 9"/>
    <w:basedOn w:val="647"/>
    <w:next w:val="647"/>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648"/>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paragraph" w:styleId="32">
    <w:name w:val="Title"/>
    <w:basedOn w:val="647"/>
    <w:next w:val="647"/>
    <w:link w:val="33"/>
    <w:uiPriority w:val="10"/>
    <w:qFormat/>
    <w:pPr>
      <w:contextualSpacing/>
      <w:spacing w:before="300" w:after="200"/>
    </w:pPr>
    <w:rPr>
      <w:sz w:val="48"/>
      <w:szCs w:val="48"/>
    </w:rPr>
  </w:style>
  <w:style w:type="character" w:styleId="33">
    <w:name w:val="Title Char"/>
    <w:basedOn w:val="648"/>
    <w:link w:val="32"/>
    <w:uiPriority w:val="10"/>
    <w:rPr>
      <w:sz w:val="48"/>
      <w:szCs w:val="48"/>
    </w:rPr>
  </w:style>
  <w:style w:type="paragraph" w:styleId="34">
    <w:name w:val="Subtitle"/>
    <w:basedOn w:val="647"/>
    <w:next w:val="647"/>
    <w:link w:val="35"/>
    <w:uiPriority w:val="11"/>
    <w:qFormat/>
    <w:pPr>
      <w:spacing w:before="200" w:after="200"/>
    </w:pPr>
    <w:rPr>
      <w:sz w:val="24"/>
      <w:szCs w:val="24"/>
    </w:rPr>
  </w:style>
  <w:style w:type="character" w:styleId="35">
    <w:name w:val="Subtitle Char"/>
    <w:basedOn w:val="648"/>
    <w:link w:val="34"/>
    <w:uiPriority w:val="11"/>
    <w:rPr>
      <w:sz w:val="24"/>
      <w:szCs w:val="24"/>
    </w:rPr>
  </w:style>
  <w:style w:type="paragraph" w:styleId="36">
    <w:name w:val="Quote"/>
    <w:basedOn w:val="647"/>
    <w:next w:val="647"/>
    <w:link w:val="37"/>
    <w:uiPriority w:val="29"/>
    <w:qFormat/>
    <w:pPr>
      <w:ind w:left="720" w:right="720"/>
    </w:pPr>
    <w:rPr>
      <w:i/>
    </w:rPr>
  </w:style>
  <w:style w:type="character" w:styleId="37">
    <w:name w:val="Quote Char"/>
    <w:link w:val="36"/>
    <w:uiPriority w:val="29"/>
    <w:rPr>
      <w:i/>
    </w:rPr>
  </w:style>
  <w:style w:type="paragraph" w:styleId="38">
    <w:name w:val="Intense Quote"/>
    <w:basedOn w:val="647"/>
    <w:next w:val="647"/>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paragraph" w:styleId="40">
    <w:name w:val="Header"/>
    <w:basedOn w:val="647"/>
    <w:link w:val="41"/>
    <w:uiPriority w:val="99"/>
    <w:unhideWhenUsed/>
    <w:pPr>
      <w:spacing w:after="0" w:line="240" w:lineRule="auto"/>
      <w:tabs>
        <w:tab w:val="center" w:pos="7143" w:leader="none"/>
        <w:tab w:val="right" w:pos="14287" w:leader="none"/>
      </w:tabs>
    </w:pPr>
  </w:style>
  <w:style w:type="character" w:styleId="41">
    <w:name w:val="Header Char"/>
    <w:basedOn w:val="648"/>
    <w:link w:val="40"/>
    <w:uiPriority w:val="99"/>
  </w:style>
  <w:style w:type="paragraph" w:styleId="42">
    <w:name w:val="Footer"/>
    <w:basedOn w:val="647"/>
    <w:link w:val="45"/>
    <w:uiPriority w:val="99"/>
    <w:unhideWhenUsed/>
    <w:pPr>
      <w:spacing w:after="0" w:line="240" w:lineRule="auto"/>
      <w:tabs>
        <w:tab w:val="center" w:pos="7143" w:leader="none"/>
        <w:tab w:val="right" w:pos="14287" w:leader="none"/>
      </w:tabs>
    </w:pPr>
  </w:style>
  <w:style w:type="character" w:styleId="43">
    <w:name w:val="Footer Char"/>
    <w:basedOn w:val="648"/>
    <w:link w:val="42"/>
    <w:uiPriority w:val="99"/>
  </w:style>
  <w:style w:type="paragraph" w:styleId="44">
    <w:name w:val="Caption"/>
    <w:basedOn w:val="647"/>
    <w:next w:val="647"/>
    <w:uiPriority w:val="35"/>
    <w:semiHidden/>
    <w:unhideWhenUsed/>
    <w:qFormat/>
    <w:pPr>
      <w:spacing w:line="276" w:lineRule="auto"/>
    </w:pPr>
    <w:rPr>
      <w:b/>
      <w:bCs/>
      <w:color w:val="4F81BD" w:themeColor="accent1"/>
      <w:sz w:val="18"/>
      <w:szCs w:val="18"/>
    </w:rPr>
  </w:style>
  <w:style w:type="character" w:styleId="45">
    <w:name w:val="Caption Char"/>
    <w:basedOn w:val="44"/>
    <w:link w:val="42"/>
    <w:uiPriority w:val="99"/>
  </w:style>
  <w:style w:type="table" w:styleId="46">
    <w:name w:val="Table Grid"/>
    <w:basedOn w:val="649"/>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7">
    <w:name w:val="Table Grid Light"/>
    <w:basedOn w:val="64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64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49"/>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4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64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4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649"/>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64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64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64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64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64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64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64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64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64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64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64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64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64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64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64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64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64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64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64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64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649"/>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649"/>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649"/>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649"/>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649"/>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649"/>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649"/>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64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64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3">
    <w:name w:val="Grid Table 5 Dark - Accent 2"/>
    <w:basedOn w:val="64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4">
    <w:name w:val="Grid Table 5 Dark - Accent 3"/>
    <w:basedOn w:val="64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5">
    <w:name w:val="Grid Table 5 Dark- Accent 4"/>
    <w:basedOn w:val="64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6">
    <w:name w:val="Grid Table 5 Dark - Accent 5"/>
    <w:basedOn w:val="64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7">
    <w:name w:val="Grid Table 5 Dark - Accent 6"/>
    <w:basedOn w:val="64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8">
    <w:name w:val="Grid Table 6 Colorful"/>
    <w:basedOn w:val="649"/>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49"/>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4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49"/>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4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49"/>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49"/>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649"/>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649"/>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649"/>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649"/>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649"/>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649"/>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649"/>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649"/>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649"/>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649"/>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649"/>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649"/>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649"/>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649"/>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649"/>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649"/>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649"/>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649"/>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649"/>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649"/>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649"/>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64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649"/>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8">
    <w:name w:val="List Table 3 - Accent 2"/>
    <w:basedOn w:val="64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19">
    <w:name w:val="List Table 3 - Accent 3"/>
    <w:basedOn w:val="649"/>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0">
    <w:name w:val="List Table 3 - Accent 4"/>
    <w:basedOn w:val="64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1">
    <w:name w:val="List Table 3 - Accent 5"/>
    <w:basedOn w:val="649"/>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2">
    <w:name w:val="List Table 3 - Accent 6"/>
    <w:basedOn w:val="649"/>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3">
    <w:name w:val="List Table 4"/>
    <w:basedOn w:val="64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649"/>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5">
    <w:name w:val="List Table 4 - Accent 2"/>
    <w:basedOn w:val="649"/>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6">
    <w:name w:val="List Table 4 - Accent 3"/>
    <w:basedOn w:val="649"/>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7">
    <w:name w:val="List Table 4 - Accent 4"/>
    <w:basedOn w:val="649"/>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8">
    <w:name w:val="List Table 4 - Accent 5"/>
    <w:basedOn w:val="649"/>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29">
    <w:name w:val="List Table 4 - Accent 6"/>
    <w:basedOn w:val="649"/>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0">
    <w:name w:val="List Table 5 Dark"/>
    <w:basedOn w:val="649"/>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49"/>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49"/>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49"/>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49"/>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49"/>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49"/>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49"/>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649"/>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39">
    <w:name w:val="List Table 6 Colorful - Accent 2"/>
    <w:basedOn w:val="649"/>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0">
    <w:name w:val="List Table 6 Colorful - Accent 3"/>
    <w:basedOn w:val="649"/>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1">
    <w:name w:val="List Table 6 Colorful - Accent 4"/>
    <w:basedOn w:val="649"/>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2">
    <w:name w:val="List Table 6 Colorful - Accent 5"/>
    <w:basedOn w:val="649"/>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3">
    <w:name w:val="List Table 6 Colorful - Accent 6"/>
    <w:basedOn w:val="649"/>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4">
    <w:name w:val="List Table 7 Colorful"/>
    <w:basedOn w:val="649"/>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49"/>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6">
    <w:name w:val="List Table 7 Colorful - Accent 2"/>
    <w:basedOn w:val="649"/>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649"/>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649"/>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649"/>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649"/>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1">
    <w:name w:val="Lined - Accent"/>
    <w:basedOn w:val="64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64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3">
    <w:name w:val="Lined - Accent 2"/>
    <w:basedOn w:val="64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4">
    <w:name w:val="Lined - Accent 3"/>
    <w:basedOn w:val="64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5">
    <w:name w:val="Lined - Accent 4"/>
    <w:basedOn w:val="64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6">
    <w:name w:val="Lined - Accent 5"/>
    <w:basedOn w:val="64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7">
    <w:name w:val="Lined - Accent 6"/>
    <w:basedOn w:val="64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8">
    <w:name w:val="Bordered &amp; Lined - Accent"/>
    <w:basedOn w:val="649"/>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649"/>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0">
    <w:name w:val="Bordered &amp; Lined - Accent 2"/>
    <w:basedOn w:val="649"/>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1">
    <w:name w:val="Bordered &amp; Lined - Accent 3"/>
    <w:basedOn w:val="649"/>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2">
    <w:name w:val="Bordered &amp; Lined - Accent 4"/>
    <w:basedOn w:val="649"/>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3">
    <w:name w:val="Bordered &amp; Lined - Accent 5"/>
    <w:basedOn w:val="649"/>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4">
    <w:name w:val="Bordered &amp; Lined - Accent 6"/>
    <w:basedOn w:val="649"/>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5">
    <w:name w:val="Bordered"/>
    <w:basedOn w:val="649"/>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64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64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64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64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64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64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Footnote Text Char"/>
    <w:link w:val="652"/>
    <w:uiPriority w:val="99"/>
    <w:rPr>
      <w:sz w:val="18"/>
    </w:rPr>
  </w:style>
  <w:style w:type="paragraph" w:styleId="176">
    <w:name w:val="endnote text"/>
    <w:basedOn w:val="647"/>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648"/>
    <w:uiPriority w:val="99"/>
    <w:semiHidden/>
    <w:unhideWhenUsed/>
    <w:rPr>
      <w:vertAlign w:val="superscript"/>
    </w:rPr>
  </w:style>
  <w:style w:type="paragraph" w:styleId="179">
    <w:name w:val="toc 1"/>
    <w:basedOn w:val="647"/>
    <w:next w:val="647"/>
    <w:uiPriority w:val="39"/>
    <w:unhideWhenUsed/>
    <w:pPr>
      <w:ind w:left="0" w:right="0" w:firstLine="0"/>
      <w:spacing w:after="57"/>
    </w:pPr>
  </w:style>
  <w:style w:type="paragraph" w:styleId="180">
    <w:name w:val="toc 2"/>
    <w:basedOn w:val="647"/>
    <w:next w:val="647"/>
    <w:uiPriority w:val="39"/>
    <w:unhideWhenUsed/>
    <w:pPr>
      <w:ind w:left="283" w:right="0" w:firstLine="0"/>
      <w:spacing w:after="57"/>
    </w:pPr>
  </w:style>
  <w:style w:type="paragraph" w:styleId="181">
    <w:name w:val="toc 3"/>
    <w:basedOn w:val="647"/>
    <w:next w:val="647"/>
    <w:uiPriority w:val="39"/>
    <w:unhideWhenUsed/>
    <w:pPr>
      <w:ind w:left="567" w:right="0" w:firstLine="0"/>
      <w:spacing w:after="57"/>
    </w:pPr>
  </w:style>
  <w:style w:type="paragraph" w:styleId="182">
    <w:name w:val="toc 4"/>
    <w:basedOn w:val="647"/>
    <w:next w:val="647"/>
    <w:uiPriority w:val="39"/>
    <w:unhideWhenUsed/>
    <w:pPr>
      <w:ind w:left="850" w:right="0" w:firstLine="0"/>
      <w:spacing w:after="57"/>
    </w:pPr>
  </w:style>
  <w:style w:type="paragraph" w:styleId="183">
    <w:name w:val="toc 5"/>
    <w:basedOn w:val="647"/>
    <w:next w:val="647"/>
    <w:uiPriority w:val="39"/>
    <w:unhideWhenUsed/>
    <w:pPr>
      <w:ind w:left="1134" w:right="0" w:firstLine="0"/>
      <w:spacing w:after="57"/>
    </w:pPr>
  </w:style>
  <w:style w:type="paragraph" w:styleId="184">
    <w:name w:val="toc 6"/>
    <w:basedOn w:val="647"/>
    <w:next w:val="647"/>
    <w:uiPriority w:val="39"/>
    <w:unhideWhenUsed/>
    <w:pPr>
      <w:ind w:left="1417" w:right="0" w:firstLine="0"/>
      <w:spacing w:after="57"/>
    </w:pPr>
  </w:style>
  <w:style w:type="paragraph" w:styleId="185">
    <w:name w:val="toc 7"/>
    <w:basedOn w:val="647"/>
    <w:next w:val="647"/>
    <w:uiPriority w:val="39"/>
    <w:unhideWhenUsed/>
    <w:pPr>
      <w:ind w:left="1701" w:right="0" w:firstLine="0"/>
      <w:spacing w:after="57"/>
    </w:pPr>
  </w:style>
  <w:style w:type="paragraph" w:styleId="186">
    <w:name w:val="toc 8"/>
    <w:basedOn w:val="647"/>
    <w:next w:val="647"/>
    <w:uiPriority w:val="39"/>
    <w:unhideWhenUsed/>
    <w:pPr>
      <w:ind w:left="1984" w:right="0" w:firstLine="0"/>
      <w:spacing w:after="57"/>
    </w:pPr>
  </w:style>
  <w:style w:type="paragraph" w:styleId="187">
    <w:name w:val="toc 9"/>
    <w:basedOn w:val="647"/>
    <w:next w:val="647"/>
    <w:uiPriority w:val="39"/>
    <w:unhideWhenUsed/>
    <w:pPr>
      <w:ind w:left="2268" w:right="0" w:firstLine="0"/>
      <w:spacing w:after="57"/>
    </w:pPr>
  </w:style>
  <w:style w:type="paragraph" w:styleId="188">
    <w:name w:val="TOC Heading"/>
    <w:uiPriority w:val="39"/>
    <w:unhideWhenUsed/>
  </w:style>
  <w:style w:type="paragraph" w:styleId="189">
    <w:name w:val="table of figures"/>
    <w:basedOn w:val="647"/>
    <w:next w:val="647"/>
    <w:uiPriority w:val="99"/>
    <w:unhideWhenUsed/>
    <w:pPr>
      <w:spacing w:after="0" w:afterAutospacing="0"/>
    </w:pPr>
  </w:style>
  <w:style w:type="paragraph" w:styleId="647" w:default="1">
    <w:name w:val="Normal"/>
    <w:qFormat/>
    <w:pPr>
      <w:spacing w:after="160" w:line="259" w:lineRule="auto"/>
    </w:pPr>
  </w:style>
  <w:style w:type="character" w:styleId="648" w:default="1">
    <w:name w:val="Default Paragraph Font"/>
    <w:uiPriority w:val="1"/>
    <w:semiHidden/>
    <w:unhideWhenUsed/>
  </w:style>
  <w:style w:type="table" w:styleId="649" w:default="1">
    <w:name w:val="Normal Table"/>
    <w:uiPriority w:val="99"/>
    <w:semiHidden/>
    <w:unhideWhenUsed/>
    <w:qFormat/>
    <w:tblPr>
      <w:tblInd w:w="0" w:type="dxa"/>
      <w:tblCellMar>
        <w:left w:w="108" w:type="dxa"/>
        <w:top w:w="0" w:type="dxa"/>
        <w:right w:w="108" w:type="dxa"/>
        <w:bottom w:w="0" w:type="dxa"/>
      </w:tblCellMar>
    </w:tblPr>
  </w:style>
  <w:style w:type="numbering" w:styleId="650" w:default="1">
    <w:name w:val="No List"/>
    <w:uiPriority w:val="99"/>
    <w:semiHidden/>
    <w:unhideWhenUsed/>
  </w:style>
  <w:style w:type="character" w:styleId="651">
    <w:name w:val="Hyperlink"/>
    <w:basedOn w:val="648"/>
    <w:uiPriority w:val="99"/>
    <w:unhideWhenUsed/>
    <w:rPr>
      <w:color w:val="0000FF" w:themeColor="hyperlink"/>
      <w:u w:val="single"/>
    </w:rPr>
  </w:style>
  <w:style w:type="paragraph" w:styleId="652">
    <w:name w:val="footnote text"/>
    <w:basedOn w:val="647"/>
    <w:link w:val="653"/>
    <w:uiPriority w:val="99"/>
    <w:semiHidden/>
    <w:unhideWhenUsed/>
    <w:pPr>
      <w:spacing w:after="0" w:line="240" w:lineRule="auto"/>
    </w:pPr>
    <w:rPr>
      <w:sz w:val="20"/>
      <w:szCs w:val="20"/>
    </w:rPr>
  </w:style>
  <w:style w:type="character" w:styleId="653" w:customStyle="1">
    <w:name w:val="Lábjegyzetszöveg Char"/>
    <w:basedOn w:val="648"/>
    <w:link w:val="652"/>
    <w:uiPriority w:val="99"/>
    <w:semiHidden/>
    <w:rPr>
      <w:sz w:val="20"/>
      <w:szCs w:val="20"/>
    </w:rPr>
  </w:style>
  <w:style w:type="paragraph" w:styleId="654">
    <w:name w:val="List Paragraph"/>
    <w:basedOn w:val="647"/>
    <w:uiPriority w:val="34"/>
    <w:qFormat/>
    <w:pPr>
      <w:contextualSpacing/>
      <w:ind w:left="720"/>
    </w:pPr>
  </w:style>
  <w:style w:type="character" w:styleId="655">
    <w:name w:val="footnote reference"/>
    <w:basedOn w:val="648"/>
    <w:uiPriority w:val="99"/>
    <w:semiHidden/>
    <w:unhideWhenUsed/>
    <w:rPr>
      <w:vertAlign w:val="superscript"/>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www.monor.hu"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ONLYOFFICE/7.1.0.215</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oroshazit</dc:creator>
  <cp:revision>3</cp:revision>
  <dcterms:created xsi:type="dcterms:W3CDTF">2022-09-13T07:57:00Z</dcterms:created>
  <dcterms:modified xsi:type="dcterms:W3CDTF">2022-09-27T06:56:08Z</dcterms:modified>
</cp:coreProperties>
</file>